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C92F5AC" w:rsidR="009B07AB" w:rsidRDefault="00483949" w:rsidP="003B0FD3">
      <w:r>
        <w:rPr>
          <w:noProof/>
        </w:rPr>
        <mc:AlternateContent>
          <mc:Choice Requires="wps">
            <w:drawing>
              <wp:anchor distT="0" distB="0" distL="114300" distR="114300" simplePos="0" relativeHeight="251672576" behindDoc="0" locked="0" layoutInCell="1" allowOverlap="1" wp14:anchorId="5CB61A48" wp14:editId="7BCF4033">
                <wp:simplePos x="0" y="0"/>
                <wp:positionH relativeFrom="column">
                  <wp:posOffset>-390525</wp:posOffset>
                </wp:positionH>
                <wp:positionV relativeFrom="paragraph">
                  <wp:posOffset>3038475</wp:posOffset>
                </wp:positionV>
                <wp:extent cx="2120265" cy="36290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629025"/>
                        </a:xfrm>
                        <a:prstGeom prst="rect">
                          <a:avLst/>
                        </a:prstGeom>
                        <a:noFill/>
                        <a:ln w="6350">
                          <a:noFill/>
                        </a:ln>
                      </wps:spPr>
                      <wps:txbx>
                        <w:txbxContent>
                          <w:p w14:paraId="5DE02D93" w14:textId="77777777"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In Person in the Cyrus </w:t>
                            </w:r>
                            <w:proofErr w:type="spellStart"/>
                            <w:r>
                              <w:rPr>
                                <w:rStyle w:val="InlineEmphasisEmphasis"/>
                                <w:rFonts w:ascii="Arial" w:hAnsi="Arial" w:cs="Arial"/>
                                <w:b/>
                                <w:bCs/>
                                <w:color w:val="182D7B"/>
                              </w:rPr>
                              <w:t>Vesuna</w:t>
                            </w:r>
                            <w:proofErr w:type="spellEnd"/>
                            <w:r>
                              <w:rPr>
                                <w:rStyle w:val="InlineEmphasisEmphasis"/>
                                <w:rFonts w:ascii="Arial" w:hAnsi="Arial" w:cs="Arial"/>
                                <w:b/>
                                <w:bCs/>
                                <w:color w:val="182D7B"/>
                              </w:rPr>
                              <w:t xml:space="preserve"> Auditorium</w:t>
                            </w:r>
                          </w:p>
                          <w:p w14:paraId="487AE82F" w14:textId="4941016A"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 and </w:t>
                            </w:r>
                          </w:p>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8406398" w:rsidR="001752CA" w:rsidRPr="003B0FD3" w:rsidRDefault="009F5837" w:rsidP="001752CA">
                            <w:pPr>
                              <w:pStyle w:val="EventDetailsSubheads"/>
                              <w:rPr>
                                <w:rFonts w:ascii="Arial" w:hAnsi="Arial" w:cs="Arial"/>
                                <w:b/>
                                <w:bCs/>
                                <w:color w:val="182D7B"/>
                              </w:rPr>
                            </w:pPr>
                            <w:r>
                              <w:rPr>
                                <w:rFonts w:ascii="Arial" w:hAnsi="Arial" w:cs="Arial"/>
                                <w:b/>
                                <w:bCs/>
                                <w:color w:val="182D7B"/>
                              </w:rPr>
                              <w:t xml:space="preserve">May </w:t>
                            </w:r>
                            <w:r w:rsidR="001428EA">
                              <w:rPr>
                                <w:rFonts w:ascii="Arial" w:hAnsi="Arial" w:cs="Arial"/>
                                <w:b/>
                                <w:bCs/>
                                <w:color w:val="182D7B"/>
                              </w:rPr>
                              <w:t>6</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753C8FB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8A62F7">
                              <w:rPr>
                                <w:rFonts w:ascii="Aptos" w:hAnsi="Aptos"/>
                                <w:color w:val="FF0000"/>
                                <w:sz w:val="22"/>
                                <w:szCs w:val="22"/>
                              </w:rPr>
                              <w:t xml:space="preserve"> LOSCEL</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30.75pt;margin-top:239.25pt;width:166.95pt;height:28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" filled="f" stroked="f" strokeweight=".5pt">
                <v:textbox inset="0,0,0,0">
                  <w:txbxContent>
                    <w:p w14:paraId="5DE02D93" w14:textId="77777777"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In Person in the Cyrus </w:t>
                      </w:r>
                      <w:proofErr w:type="spellStart"/>
                      <w:r>
                        <w:rPr>
                          <w:rStyle w:val="InlineEmphasisEmphasis"/>
                          <w:rFonts w:ascii="Arial" w:hAnsi="Arial" w:cs="Arial"/>
                          <w:b/>
                          <w:bCs/>
                          <w:color w:val="182D7B"/>
                        </w:rPr>
                        <w:t>Vesuna</w:t>
                      </w:r>
                      <w:proofErr w:type="spellEnd"/>
                      <w:r>
                        <w:rPr>
                          <w:rStyle w:val="InlineEmphasisEmphasis"/>
                          <w:rFonts w:ascii="Arial" w:hAnsi="Arial" w:cs="Arial"/>
                          <w:b/>
                          <w:bCs/>
                          <w:color w:val="182D7B"/>
                        </w:rPr>
                        <w:t xml:space="preserve"> Auditorium</w:t>
                      </w:r>
                    </w:p>
                    <w:p w14:paraId="487AE82F" w14:textId="4941016A" w:rsidR="00A64D54" w:rsidRDefault="00A64D54"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 xml:space="preserve"> and </w:t>
                      </w:r>
                    </w:p>
                    <w:p w14:paraId="57F023D4" w14:textId="0F0EDE82"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68406398" w:rsidR="001752CA" w:rsidRPr="003B0FD3" w:rsidRDefault="009F5837" w:rsidP="001752CA">
                      <w:pPr>
                        <w:pStyle w:val="EventDetailsSubheads"/>
                        <w:rPr>
                          <w:rFonts w:ascii="Arial" w:hAnsi="Arial" w:cs="Arial"/>
                          <w:b/>
                          <w:bCs/>
                          <w:color w:val="182D7B"/>
                        </w:rPr>
                      </w:pPr>
                      <w:r>
                        <w:rPr>
                          <w:rFonts w:ascii="Arial" w:hAnsi="Arial" w:cs="Arial"/>
                          <w:b/>
                          <w:bCs/>
                          <w:color w:val="182D7B"/>
                        </w:rPr>
                        <w:t xml:space="preserve">May </w:t>
                      </w:r>
                      <w:r w:rsidR="001428EA">
                        <w:rPr>
                          <w:rFonts w:ascii="Arial" w:hAnsi="Arial" w:cs="Arial"/>
                          <w:b/>
                          <w:bCs/>
                          <w:color w:val="182D7B"/>
                        </w:rPr>
                        <w:t>6</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753C8FB0"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8A62F7">
                        <w:rPr>
                          <w:rFonts w:ascii="Aptos" w:hAnsi="Aptos"/>
                          <w:color w:val="FF0000"/>
                          <w:sz w:val="22"/>
                          <w:szCs w:val="22"/>
                        </w:rPr>
                        <w:t xml:space="preserve"> LOSCEL</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C53F7B">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1DEA08CF" w14:textId="56896997" w:rsidR="00D06534"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Dev Chatterji, PharmD, BCIDP</w:t>
                            </w:r>
                          </w:p>
                          <w:p w14:paraId="44E520C6" w14:textId="37DB13A6"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Clinical Pharmacy Specialist</w:t>
                            </w:r>
                          </w:p>
                          <w:p w14:paraId="57F5A865" w14:textId="77777777" w:rsidR="009F5837" w:rsidRDefault="009F5837">
                            <w:pPr>
                              <w:rPr>
                                <w:rFonts w:ascii="Arial" w:hAnsi="Arial" w:cs="Arial"/>
                                <w:b/>
                                <w:bCs/>
                                <w:i/>
                                <w:iCs/>
                                <w:color w:val="FFFFFF" w:themeColor="background1"/>
                                <w:sz w:val="22"/>
                                <w:szCs w:val="22"/>
                              </w:rPr>
                            </w:pPr>
                          </w:p>
                          <w:p w14:paraId="622C351A" w14:textId="10297294"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Lois Lee, PharmD, BCPPS</w:t>
                            </w:r>
                          </w:p>
                          <w:p w14:paraId="78E5266F" w14:textId="2930A4B2"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Clinical Pharmacy Specialist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" filled="f" stroked="f" strokeweight=".5pt">
                <v:textbox inset="0,0,0,0">
                  <w:txbxContent>
                    <w:p w14:paraId="1DEA08CF" w14:textId="56896997" w:rsidR="00D06534"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Dev Chatterji, PharmD, BCIDP</w:t>
                      </w:r>
                    </w:p>
                    <w:p w14:paraId="44E520C6" w14:textId="37DB13A6"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Clinical Pharmacy Specialist</w:t>
                      </w:r>
                    </w:p>
                    <w:p w14:paraId="57F5A865" w14:textId="77777777" w:rsidR="009F5837" w:rsidRDefault="009F5837">
                      <w:pPr>
                        <w:rPr>
                          <w:rFonts w:ascii="Arial" w:hAnsi="Arial" w:cs="Arial"/>
                          <w:b/>
                          <w:bCs/>
                          <w:i/>
                          <w:iCs/>
                          <w:color w:val="FFFFFF" w:themeColor="background1"/>
                          <w:sz w:val="22"/>
                          <w:szCs w:val="22"/>
                        </w:rPr>
                      </w:pPr>
                    </w:p>
                    <w:p w14:paraId="622C351A" w14:textId="10297294"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Lois Lee, PharmD, BCPPS</w:t>
                      </w:r>
                    </w:p>
                    <w:p w14:paraId="78E5266F" w14:textId="2930A4B2" w:rsidR="009F5837" w:rsidRDefault="009F5837">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Clinical Pharmacy Specialist</w:t>
                      </w: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60EF28AA">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E6E7823" w14:textId="511C67F2" w:rsidR="00A64D54" w:rsidRDefault="009F5837"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Select the appropriate duration of antibiotic therapy in gram negative bacteremia based on currently available literature</w:t>
                            </w:r>
                          </w:p>
                          <w:p w14:paraId="46EC22AE" w14:textId="540323DD" w:rsidR="009F5837" w:rsidRDefault="009F5837"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Identify candidates suitable for transition to oral step-down therapy for gram negative bloodstream infections</w:t>
                            </w:r>
                          </w:p>
                          <w:p w14:paraId="3F8015BB" w14:textId="575E13EA" w:rsidR="009F5837" w:rsidRPr="00BE2EC5" w:rsidRDefault="009F5837"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Given a patient scenario, prescribe an optima oral antibiotic regimen based on patient and drug-</w:t>
                            </w:r>
                            <w:r w:rsidR="001428EA">
                              <w:rPr>
                                <w:rFonts w:ascii="Arial" w:hAnsi="Arial" w:cs="Arial"/>
                                <w:color w:val="252424"/>
                                <w:sz w:val="20"/>
                                <w:szCs w:val="20"/>
                              </w:rPr>
                              <w:t>specific</w:t>
                            </w:r>
                            <w:r>
                              <w:rPr>
                                <w:rFonts w:ascii="Arial" w:hAnsi="Arial" w:cs="Arial"/>
                                <w:color w:val="252424"/>
                                <w:sz w:val="20"/>
                                <w:szCs w:val="20"/>
                              </w:rPr>
                              <w:t xml:space="preserve"> factors</w:t>
                            </w:r>
                          </w:p>
                          <w:bookmarkEnd w:id="0"/>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E6E7823" w14:textId="511C67F2" w:rsidR="00A64D54" w:rsidRDefault="009F5837" w:rsidP="004B1F79">
                      <w:pPr>
                        <w:pStyle w:val="ListParagraph"/>
                        <w:numPr>
                          <w:ilvl w:val="0"/>
                          <w:numId w:val="6"/>
                        </w:numPr>
                        <w:rPr>
                          <w:rFonts w:ascii="Arial" w:hAnsi="Arial" w:cs="Arial"/>
                          <w:color w:val="252424"/>
                          <w:sz w:val="20"/>
                          <w:szCs w:val="20"/>
                        </w:rPr>
                      </w:pPr>
                      <w:bookmarkStart w:id="1" w:name="_Hlk191462672"/>
                      <w:r>
                        <w:rPr>
                          <w:rFonts w:ascii="Arial" w:hAnsi="Arial" w:cs="Arial"/>
                          <w:color w:val="252424"/>
                          <w:sz w:val="20"/>
                          <w:szCs w:val="20"/>
                        </w:rPr>
                        <w:t>Select the appropriate duration of antibiotic therapy in gram negative bacteremia based on currently available literature</w:t>
                      </w:r>
                    </w:p>
                    <w:p w14:paraId="46EC22AE" w14:textId="540323DD" w:rsidR="009F5837" w:rsidRDefault="009F5837"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Identify candidates suitable for transition to oral step-down therapy for gram negative bloodstream infections</w:t>
                      </w:r>
                    </w:p>
                    <w:p w14:paraId="3F8015BB" w14:textId="575E13EA" w:rsidR="009F5837" w:rsidRPr="00BE2EC5" w:rsidRDefault="009F5837"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Given a patient scenario, prescribe an optima oral antibiotic regimen based on patient and drug-</w:t>
                      </w:r>
                      <w:r w:rsidR="001428EA">
                        <w:rPr>
                          <w:rFonts w:ascii="Arial" w:hAnsi="Arial" w:cs="Arial"/>
                          <w:color w:val="252424"/>
                          <w:sz w:val="20"/>
                          <w:szCs w:val="20"/>
                        </w:rPr>
                        <w:t>specific</w:t>
                      </w:r>
                      <w:r>
                        <w:rPr>
                          <w:rFonts w:ascii="Arial" w:hAnsi="Arial" w:cs="Arial"/>
                          <w:color w:val="252424"/>
                          <w:sz w:val="20"/>
                          <w:szCs w:val="20"/>
                        </w:rPr>
                        <w:t xml:space="preserve"> factors</w:t>
                      </w:r>
                    </w:p>
                    <w:bookmarkEnd w:id="1"/>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6CF57991" w:rsidR="00ED74B0" w:rsidRPr="00470521" w:rsidRDefault="009F5837"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 xml:space="preserve">Shorter, Smarter: Modern Management of </w:t>
                            </w:r>
                            <w:proofErr w:type="gramStart"/>
                            <w:r>
                              <w:rPr>
                                <w:rFonts w:ascii="Times New Roman" w:hAnsi="Times New Roman" w:cs="Times New Roman"/>
                                <w:color w:val="FFFFFF" w:themeColor="background1"/>
                                <w:sz w:val="44"/>
                                <w:szCs w:val="44"/>
                              </w:rPr>
                              <w:t>G</w:t>
                            </w:r>
                            <w:r w:rsidR="001428EA">
                              <w:rPr>
                                <w:rFonts w:ascii="Times New Roman" w:hAnsi="Times New Roman" w:cs="Times New Roman"/>
                                <w:color w:val="FFFFFF" w:themeColor="background1"/>
                                <w:sz w:val="44"/>
                                <w:szCs w:val="44"/>
                              </w:rPr>
                              <w:t>r</w:t>
                            </w:r>
                            <w:r>
                              <w:rPr>
                                <w:rFonts w:ascii="Times New Roman" w:hAnsi="Times New Roman" w:cs="Times New Roman"/>
                                <w:color w:val="FFFFFF" w:themeColor="background1"/>
                                <w:sz w:val="44"/>
                                <w:szCs w:val="44"/>
                              </w:rPr>
                              <w:t>am Negative</w:t>
                            </w:r>
                            <w:proofErr w:type="gramEnd"/>
                            <w:r>
                              <w:rPr>
                                <w:rFonts w:ascii="Times New Roman" w:hAnsi="Times New Roman" w:cs="Times New Roman"/>
                                <w:color w:val="FFFFFF" w:themeColor="background1"/>
                                <w:sz w:val="44"/>
                                <w:szCs w:val="44"/>
                              </w:rPr>
                              <w:t xml:space="preserve"> </w:t>
                            </w:r>
                            <w:r w:rsidR="001428EA">
                              <w:rPr>
                                <w:rFonts w:ascii="Times New Roman" w:hAnsi="Times New Roman" w:cs="Times New Roman"/>
                                <w:color w:val="FFFFFF" w:themeColor="background1"/>
                                <w:sz w:val="44"/>
                                <w:szCs w:val="44"/>
                              </w:rPr>
                              <w:t>Bacteremia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6CF57991" w:rsidR="00ED74B0" w:rsidRPr="00470521" w:rsidRDefault="009F5837"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 xml:space="preserve">Shorter, Smarter: Modern Management of </w:t>
                      </w:r>
                      <w:proofErr w:type="gramStart"/>
                      <w:r>
                        <w:rPr>
                          <w:rFonts w:ascii="Times New Roman" w:hAnsi="Times New Roman" w:cs="Times New Roman"/>
                          <w:color w:val="FFFFFF" w:themeColor="background1"/>
                          <w:sz w:val="44"/>
                          <w:szCs w:val="44"/>
                        </w:rPr>
                        <w:t>G</w:t>
                      </w:r>
                      <w:r w:rsidR="001428EA">
                        <w:rPr>
                          <w:rFonts w:ascii="Times New Roman" w:hAnsi="Times New Roman" w:cs="Times New Roman"/>
                          <w:color w:val="FFFFFF" w:themeColor="background1"/>
                          <w:sz w:val="44"/>
                          <w:szCs w:val="44"/>
                        </w:rPr>
                        <w:t>r</w:t>
                      </w:r>
                      <w:r>
                        <w:rPr>
                          <w:rFonts w:ascii="Times New Roman" w:hAnsi="Times New Roman" w:cs="Times New Roman"/>
                          <w:color w:val="FFFFFF" w:themeColor="background1"/>
                          <w:sz w:val="44"/>
                          <w:szCs w:val="44"/>
                        </w:rPr>
                        <w:t>am Negative</w:t>
                      </w:r>
                      <w:proofErr w:type="gramEnd"/>
                      <w:r>
                        <w:rPr>
                          <w:rFonts w:ascii="Times New Roman" w:hAnsi="Times New Roman" w:cs="Times New Roman"/>
                          <w:color w:val="FFFFFF" w:themeColor="background1"/>
                          <w:sz w:val="44"/>
                          <w:szCs w:val="44"/>
                        </w:rPr>
                        <w:t xml:space="preserve"> </w:t>
                      </w:r>
                      <w:r w:rsidR="001428EA">
                        <w:rPr>
                          <w:rFonts w:ascii="Times New Roman" w:hAnsi="Times New Roman" w:cs="Times New Roman"/>
                          <w:color w:val="FFFFFF" w:themeColor="background1"/>
                          <w:sz w:val="44"/>
                          <w:szCs w:val="44"/>
                        </w:rPr>
                        <w:t>Bacteremia</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32609779">
    <w:abstractNumId w:val="4"/>
  </w:num>
  <w:num w:numId="2" w16cid:durableId="1314798076">
    <w:abstractNumId w:val="5"/>
  </w:num>
  <w:num w:numId="3" w16cid:durableId="261646533">
    <w:abstractNumId w:val="1"/>
  </w:num>
  <w:num w:numId="4" w16cid:durableId="797720981">
    <w:abstractNumId w:val="0"/>
  </w:num>
  <w:num w:numId="5" w16cid:durableId="462773388">
    <w:abstractNumId w:val="3"/>
  </w:num>
  <w:num w:numId="6" w16cid:durableId="1850565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023D5"/>
    <w:rsid w:val="00006DEB"/>
    <w:rsid w:val="00027ED1"/>
    <w:rsid w:val="00053D0A"/>
    <w:rsid w:val="00066816"/>
    <w:rsid w:val="000715CC"/>
    <w:rsid w:val="00091CC9"/>
    <w:rsid w:val="00097E33"/>
    <w:rsid w:val="000A227A"/>
    <w:rsid w:val="000A4994"/>
    <w:rsid w:val="000C2737"/>
    <w:rsid w:val="000E7813"/>
    <w:rsid w:val="000F1CAB"/>
    <w:rsid w:val="000F4D63"/>
    <w:rsid w:val="001428EA"/>
    <w:rsid w:val="001658E6"/>
    <w:rsid w:val="00167BEB"/>
    <w:rsid w:val="00173C6F"/>
    <w:rsid w:val="001752CA"/>
    <w:rsid w:val="0019763E"/>
    <w:rsid w:val="001C4D96"/>
    <w:rsid w:val="001D222B"/>
    <w:rsid w:val="0022670D"/>
    <w:rsid w:val="00226EB0"/>
    <w:rsid w:val="00232EAF"/>
    <w:rsid w:val="002508F9"/>
    <w:rsid w:val="00253900"/>
    <w:rsid w:val="002C0F41"/>
    <w:rsid w:val="002D3181"/>
    <w:rsid w:val="003043B8"/>
    <w:rsid w:val="003100D5"/>
    <w:rsid w:val="00314FAF"/>
    <w:rsid w:val="00327D04"/>
    <w:rsid w:val="003303C7"/>
    <w:rsid w:val="00336048"/>
    <w:rsid w:val="00370D2A"/>
    <w:rsid w:val="003764EA"/>
    <w:rsid w:val="00384326"/>
    <w:rsid w:val="00385622"/>
    <w:rsid w:val="003B0FD3"/>
    <w:rsid w:val="003B37DC"/>
    <w:rsid w:val="003C23EA"/>
    <w:rsid w:val="003C72F3"/>
    <w:rsid w:val="003E0F66"/>
    <w:rsid w:val="00405408"/>
    <w:rsid w:val="00416444"/>
    <w:rsid w:val="00416A06"/>
    <w:rsid w:val="004239D7"/>
    <w:rsid w:val="00424875"/>
    <w:rsid w:val="00465386"/>
    <w:rsid w:val="00470521"/>
    <w:rsid w:val="004804CF"/>
    <w:rsid w:val="00483949"/>
    <w:rsid w:val="00491824"/>
    <w:rsid w:val="00493755"/>
    <w:rsid w:val="00493CB6"/>
    <w:rsid w:val="004B1F79"/>
    <w:rsid w:val="004B282A"/>
    <w:rsid w:val="004B662C"/>
    <w:rsid w:val="004B7DE9"/>
    <w:rsid w:val="004C455D"/>
    <w:rsid w:val="004E2FDF"/>
    <w:rsid w:val="00504F6D"/>
    <w:rsid w:val="005111B5"/>
    <w:rsid w:val="005143A1"/>
    <w:rsid w:val="00542323"/>
    <w:rsid w:val="00554977"/>
    <w:rsid w:val="0057022A"/>
    <w:rsid w:val="00572B72"/>
    <w:rsid w:val="00587442"/>
    <w:rsid w:val="00596794"/>
    <w:rsid w:val="005D0F04"/>
    <w:rsid w:val="005F7929"/>
    <w:rsid w:val="006564D8"/>
    <w:rsid w:val="00665F1B"/>
    <w:rsid w:val="00683EF6"/>
    <w:rsid w:val="00686A24"/>
    <w:rsid w:val="00697314"/>
    <w:rsid w:val="00697D02"/>
    <w:rsid w:val="006F06E0"/>
    <w:rsid w:val="006F7462"/>
    <w:rsid w:val="007108EB"/>
    <w:rsid w:val="007647C3"/>
    <w:rsid w:val="007C0A72"/>
    <w:rsid w:val="007C5336"/>
    <w:rsid w:val="007D26CB"/>
    <w:rsid w:val="007D3797"/>
    <w:rsid w:val="007F70C4"/>
    <w:rsid w:val="00820C45"/>
    <w:rsid w:val="00821B3B"/>
    <w:rsid w:val="00824559"/>
    <w:rsid w:val="00835906"/>
    <w:rsid w:val="0084177E"/>
    <w:rsid w:val="008452FB"/>
    <w:rsid w:val="00846A33"/>
    <w:rsid w:val="008567D4"/>
    <w:rsid w:val="00863B11"/>
    <w:rsid w:val="00863DB0"/>
    <w:rsid w:val="0087620D"/>
    <w:rsid w:val="00890BEB"/>
    <w:rsid w:val="00895164"/>
    <w:rsid w:val="008A62F7"/>
    <w:rsid w:val="008D45D4"/>
    <w:rsid w:val="008E4D7D"/>
    <w:rsid w:val="0091129C"/>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D0BE0"/>
    <w:rsid w:val="009D408C"/>
    <w:rsid w:val="009F5837"/>
    <w:rsid w:val="00A11BBD"/>
    <w:rsid w:val="00A21A10"/>
    <w:rsid w:val="00A30805"/>
    <w:rsid w:val="00A36837"/>
    <w:rsid w:val="00A54F80"/>
    <w:rsid w:val="00A64D54"/>
    <w:rsid w:val="00A70167"/>
    <w:rsid w:val="00A80EB9"/>
    <w:rsid w:val="00AA383A"/>
    <w:rsid w:val="00AD281A"/>
    <w:rsid w:val="00AF54E3"/>
    <w:rsid w:val="00B07ABB"/>
    <w:rsid w:val="00B65B50"/>
    <w:rsid w:val="00B81A90"/>
    <w:rsid w:val="00B929DC"/>
    <w:rsid w:val="00BA069A"/>
    <w:rsid w:val="00BB28AD"/>
    <w:rsid w:val="00BE17D0"/>
    <w:rsid w:val="00BE2EC5"/>
    <w:rsid w:val="00BE3CDB"/>
    <w:rsid w:val="00BF43B6"/>
    <w:rsid w:val="00C124BC"/>
    <w:rsid w:val="00C53F7B"/>
    <w:rsid w:val="00C62006"/>
    <w:rsid w:val="00C72473"/>
    <w:rsid w:val="00C759F1"/>
    <w:rsid w:val="00C85223"/>
    <w:rsid w:val="00C87837"/>
    <w:rsid w:val="00CA0150"/>
    <w:rsid w:val="00CA2218"/>
    <w:rsid w:val="00CB1D9B"/>
    <w:rsid w:val="00CE49A2"/>
    <w:rsid w:val="00CF1372"/>
    <w:rsid w:val="00D06534"/>
    <w:rsid w:val="00D21439"/>
    <w:rsid w:val="00D337B5"/>
    <w:rsid w:val="00D400C6"/>
    <w:rsid w:val="00D956E7"/>
    <w:rsid w:val="00DF2BF8"/>
    <w:rsid w:val="00DF4272"/>
    <w:rsid w:val="00E300CA"/>
    <w:rsid w:val="00E36F7B"/>
    <w:rsid w:val="00E51A7E"/>
    <w:rsid w:val="00E56E61"/>
    <w:rsid w:val="00E62A84"/>
    <w:rsid w:val="00EA3614"/>
    <w:rsid w:val="00EA5F88"/>
    <w:rsid w:val="00ED74B0"/>
    <w:rsid w:val="00F273D2"/>
    <w:rsid w:val="00F644F7"/>
    <w:rsid w:val="00F65A81"/>
    <w:rsid w:val="00F65E43"/>
    <w:rsid w:val="00F72D12"/>
    <w:rsid w:val="00F7632C"/>
    <w:rsid w:val="00F845A3"/>
    <w:rsid w:val="00FB5023"/>
    <w:rsid w:val="00FC02EF"/>
    <w:rsid w:val="00FD501B"/>
    <w:rsid w:val="00FE191F"/>
    <w:rsid w:val="00FE4100"/>
    <w:rsid w:val="00FE504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8b37fd21-c0fa-4f34-8250-ff317bae3112"/>
    <ds:schemaRef ds:uri="fc7e7899-36b9-41b2-a178-8854929512d1"/>
    <ds:schemaRef ds:uri="http://purl.org/dc/dcmitype/"/>
    <ds:schemaRef ds:uri="http://purl.org/dc/te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DFA26-04D2-4F66-A6EE-43C2F01F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1</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Vlach, Allison</cp:lastModifiedBy>
  <cp:revision>2</cp:revision>
  <cp:lastPrinted>2024-01-05T21:31:00Z</cp:lastPrinted>
  <dcterms:created xsi:type="dcterms:W3CDTF">2025-05-05T15:48:00Z</dcterms:created>
  <dcterms:modified xsi:type="dcterms:W3CDTF">2025-05-05T15:48:00Z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