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759EE833" w:rsidR="009B07AB" w:rsidRDefault="00C53F7B" w:rsidP="003B0FD3">
      <w:r>
        <w:rPr>
          <w:noProof/>
        </w:rPr>
        <mc:AlternateContent>
          <mc:Choice Requires="wps">
            <w:drawing>
              <wp:anchor distT="0" distB="0" distL="114300" distR="114300" simplePos="0" relativeHeight="251662336" behindDoc="0" locked="0" layoutInCell="1" allowOverlap="1" wp14:anchorId="07E58356" wp14:editId="452143FF">
                <wp:simplePos x="0" y="0"/>
                <wp:positionH relativeFrom="column">
                  <wp:posOffset>-314325</wp:posOffset>
                </wp:positionH>
                <wp:positionV relativeFrom="paragraph">
                  <wp:posOffset>1933575</wp:posOffset>
                </wp:positionV>
                <wp:extent cx="5667375" cy="1045210"/>
                <wp:effectExtent l="0" t="0" r="9525" b="2540"/>
                <wp:wrapNone/>
                <wp:docPr id="536173821" name="Text Box 3"/>
                <wp:cNvGraphicFramePr/>
                <a:graphic xmlns:a="http://schemas.openxmlformats.org/drawingml/2006/main">
                  <a:graphicData uri="http://schemas.microsoft.com/office/word/2010/wordprocessingShape">
                    <wps:wsp>
                      <wps:cNvSpPr txBox="1"/>
                      <wps:spPr>
                        <a:xfrm>
                          <a:off x="0" y="0"/>
                          <a:ext cx="5667375" cy="1045210"/>
                        </a:xfrm>
                        <a:prstGeom prst="rect">
                          <a:avLst/>
                        </a:prstGeom>
                        <a:noFill/>
                        <a:ln w="6350">
                          <a:noFill/>
                        </a:ln>
                      </wps:spPr>
                      <wps:txbx>
                        <w:txbxContent>
                          <w:p w14:paraId="61F43843" w14:textId="23A2D287" w:rsidR="00405408" w:rsidRDefault="00BE2EC5">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Marc A. Georgi, MD</w:t>
                            </w:r>
                          </w:p>
                          <w:p w14:paraId="38268E29" w14:textId="5C76A2C6" w:rsidR="00BE2EC5" w:rsidRDefault="00BE2EC5">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Gastroenterology</w:t>
                            </w:r>
                          </w:p>
                          <w:p w14:paraId="4D469052" w14:textId="268F2477" w:rsidR="00BE2EC5" w:rsidRDefault="00BE2EC5">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Inova Fairfax 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4.75pt;margin-top:152.25pt;width:446.25pt;height:8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KWDgIAAB0EAAAOAAAAZHJzL2Uyb0RvYy54bWysU11v2yAUfZ+0/4B4X+ykS1pZcaqsVaZJ&#10;UVspnfpMMMSWgMuAxM5+/S7YTqZuT9Ne8DX3+5zD8r7TipyE8w2Ykk4nOSXCcKgacyjp99fNpztK&#10;fGCmYgqMKOlZeHq/+vhh2dpCzKAGVQlHsIjxRWtLWodgiyzzvBaa+QlYYdApwWkW8NcdssqxFqtr&#10;lc3yfJG14CrrgAvv8faxd9JVqi+l4OFZSi8CUSXF2UI6XTr38cxWS1YcHLN1w4cx2D9MoVljsOml&#10;1CMLjBxd80cp3XAHHmSYcNAZSNlwkXbAbab5u212NbMi7YLgeHuByf+/svzptLMvjoTuC3RIYASk&#10;tb7weBn36aTT8YuTEvQjhOcLbKILhOPlfLG4vbmdU8LRN80/z2fTBGx2TbfOh68CNIlGSR3ykuBi&#10;p60P2BJDx5DYzcCmUSpxowxpS7q4mecp4eLBDGUw8TpstEK374YN9lCdcTEHPefe8k2DzbfMhxfm&#10;kGTcBYUbnvGQCrAJDBYlNbiff7uP8Yg9eilpUTQl9T+OzAlK1DeDrESFjYYbjf1omKN+ANThFJ+E&#10;5cnEBBfUaEoH+g31vI5d0MUMx14lDaP5EHrp4nvgYr1OQagjy8LW7CyPpSN8EcrX7o05O+AdkKon&#10;GOXEinew97E98OtjANkkTiKgPYoDzqjBRNXwXqLIf/9PUddXvfoFAAD//wMAUEsDBBQABgAIAAAA&#10;IQBmNYeb4QAAAAsBAAAPAAAAZHJzL2Rvd25yZXYueG1sTI/LTsMwEEX3SPyDNUjsWjs0VG2IUyEe&#10;O54FJNg5sUki7HFkO2n4e4YV7GY0R3fOLXezs2wyIfYeJWRLAcxg43WPrYTXl9vFBlhMCrWyHo2E&#10;bxNhVx0flarQ/oDPZtqnllEIxkJJ6FIaCs5j0xmn4tIPBun26YNTidbQch3UgcKd5WdCrLlTPdKH&#10;Tg3mqjPN1350Eux7DHe1SB/TdXufnh75+HaTPUh5ejJfXgBLZk5/MPzqkzpU5FT7EXVkVsIi354T&#10;KmElchqI2OQraldLyNfbDHhV8v8dqh8AAAD//wMAUEsBAi0AFAAGAAgAAAAhALaDOJL+AAAA4QEA&#10;ABMAAAAAAAAAAAAAAAAAAAAAAFtDb250ZW50X1R5cGVzXS54bWxQSwECLQAUAAYACAAAACEAOP0h&#10;/9YAAACUAQAACwAAAAAAAAAAAAAAAAAvAQAAX3JlbHMvLnJlbHNQSwECLQAUAAYACAAAACEA+lYS&#10;lg4CAAAdBAAADgAAAAAAAAAAAAAAAAAuAgAAZHJzL2Uyb0RvYy54bWxQSwECLQAUAAYACAAAACEA&#10;ZjWHm+EAAAALAQAADwAAAAAAAAAAAAAAAABoBAAAZHJzL2Rvd25yZXYueG1sUEsFBgAAAAAEAAQA&#10;8wAAAHYFAAAAAA==&#10;" filled="f" stroked="f" strokeweight=".5pt">
                <v:textbox inset="0,0,0,0">
                  <w:txbxContent>
                    <w:p w14:paraId="61F43843" w14:textId="23A2D287" w:rsidR="00405408" w:rsidRDefault="00BE2EC5">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Marc A. Georgi, MD</w:t>
                      </w:r>
                    </w:p>
                    <w:p w14:paraId="38268E29" w14:textId="5C76A2C6" w:rsidR="00BE2EC5" w:rsidRDefault="00BE2EC5">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Gastroenterology</w:t>
                      </w:r>
                    </w:p>
                    <w:p w14:paraId="4D469052" w14:textId="268F2477" w:rsidR="00BE2EC5" w:rsidRDefault="00BE2EC5">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Inova Fairfax Hospital</w:t>
                      </w:r>
                    </w:p>
                  </w:txbxContent>
                </v:textbox>
              </v:shape>
            </w:pict>
          </mc:Fallback>
        </mc:AlternateContent>
      </w:r>
      <w:r w:rsidR="00470521">
        <w:rPr>
          <w:noProof/>
        </w:rPr>
        <mc:AlternateContent>
          <mc:Choice Requires="wps">
            <w:drawing>
              <wp:anchor distT="0" distB="0" distL="114300" distR="114300" simplePos="0" relativeHeight="251668480" behindDoc="0" locked="0" layoutInCell="1" allowOverlap="1" wp14:anchorId="593FE276" wp14:editId="533C7FFB">
                <wp:simplePos x="0" y="0"/>
                <wp:positionH relativeFrom="column">
                  <wp:posOffset>1943100</wp:posOffset>
                </wp:positionH>
                <wp:positionV relativeFrom="paragraph">
                  <wp:posOffset>3009899</wp:posOffset>
                </wp:positionV>
                <wp:extent cx="4335145" cy="3571875"/>
                <wp:effectExtent l="0" t="0" r="8255" b="9525"/>
                <wp:wrapNone/>
                <wp:docPr id="292154781" name="Text Box 2"/>
                <wp:cNvGraphicFramePr/>
                <a:graphic xmlns:a="http://schemas.openxmlformats.org/drawingml/2006/main">
                  <a:graphicData uri="http://schemas.microsoft.com/office/word/2010/wordprocessingShape">
                    <wps:wsp>
                      <wps:cNvSpPr txBox="1"/>
                      <wps:spPr>
                        <a:xfrm>
                          <a:off x="0" y="0"/>
                          <a:ext cx="4335145" cy="3571875"/>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5F56FB55"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1EFEABB6" w14:textId="5BE7AE37" w:rsidR="004B1F79" w:rsidRPr="00BE2EC5" w:rsidRDefault="00BE2EC5" w:rsidP="004B1F79">
                            <w:pPr>
                              <w:pStyle w:val="ListParagraph"/>
                              <w:numPr>
                                <w:ilvl w:val="0"/>
                                <w:numId w:val="6"/>
                              </w:numPr>
                              <w:rPr>
                                <w:rFonts w:ascii="Arial" w:hAnsi="Arial" w:cs="Arial"/>
                                <w:color w:val="252424"/>
                                <w:sz w:val="20"/>
                                <w:szCs w:val="20"/>
                              </w:rPr>
                            </w:pPr>
                            <w:r w:rsidRPr="00BE2EC5">
                              <w:rPr>
                                <w:rFonts w:ascii="Arial" w:hAnsi="Arial" w:cs="Arial"/>
                                <w:color w:val="252424"/>
                                <w:sz w:val="20"/>
                                <w:szCs w:val="20"/>
                              </w:rPr>
                              <w:t>Describe how adequate resuscitation is the single most important step in the management of non-variceal upper gastrointestinal bleeding. The hemoglobin goal is 7mg/dl</w:t>
                            </w:r>
                          </w:p>
                          <w:p w14:paraId="1BEA8874" w14:textId="3856A26E" w:rsidR="00BE2EC5" w:rsidRPr="00BE2EC5" w:rsidRDefault="00BE2EC5" w:rsidP="004B1F79">
                            <w:pPr>
                              <w:pStyle w:val="ListParagraph"/>
                              <w:numPr>
                                <w:ilvl w:val="0"/>
                                <w:numId w:val="6"/>
                              </w:numPr>
                              <w:rPr>
                                <w:rFonts w:ascii="Arial" w:hAnsi="Arial" w:cs="Arial"/>
                                <w:color w:val="252424"/>
                                <w:sz w:val="20"/>
                                <w:szCs w:val="20"/>
                              </w:rPr>
                            </w:pPr>
                            <w:r w:rsidRPr="00BE2EC5">
                              <w:rPr>
                                <w:rFonts w:ascii="Arial" w:hAnsi="Arial" w:cs="Arial"/>
                                <w:color w:val="252424"/>
                                <w:sz w:val="20"/>
                                <w:szCs w:val="20"/>
                              </w:rPr>
                              <w:t>Discuss how urgent endoscopy without adequate resuscitation does not benefit and can harm patients with non-variceal gastrointestinal bleeding</w:t>
                            </w:r>
                          </w:p>
                          <w:p w14:paraId="5B4508DB" w14:textId="6C3D27EF" w:rsidR="00BE2EC5" w:rsidRPr="00BE2EC5" w:rsidRDefault="00BE2EC5" w:rsidP="004B1F79">
                            <w:pPr>
                              <w:pStyle w:val="ListParagraph"/>
                              <w:numPr>
                                <w:ilvl w:val="0"/>
                                <w:numId w:val="6"/>
                              </w:numPr>
                              <w:rPr>
                                <w:rFonts w:ascii="Arial" w:hAnsi="Arial" w:cs="Arial"/>
                                <w:color w:val="252424"/>
                                <w:sz w:val="20"/>
                                <w:szCs w:val="20"/>
                              </w:rPr>
                            </w:pPr>
                            <w:r w:rsidRPr="00BE2EC5">
                              <w:rPr>
                                <w:rFonts w:ascii="Arial" w:hAnsi="Arial" w:cs="Arial"/>
                                <w:color w:val="252424"/>
                                <w:sz w:val="20"/>
                                <w:szCs w:val="20"/>
                              </w:rPr>
                              <w:t>Review H. Pylori testing in the setting of acute non-variceal upper gastrointestinal bleeding is prone false-negative results of up to 50%</w:t>
                            </w:r>
                          </w:p>
                          <w:p w14:paraId="1DD90B80" w14:textId="77777777" w:rsidR="004B1F79" w:rsidRPr="00416A06" w:rsidRDefault="004B1F79"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262A35CC" w:rsidR="00416A06" w:rsidRPr="00AA383A" w:rsidRDefault="00416A06" w:rsidP="00416A06">
                            <w:pPr>
                              <w:pStyle w:val="Bullets-1014BodyCopy"/>
                              <w:ind w:left="360" w:firstLine="0"/>
                              <w:jc w:val="center"/>
                              <w:rPr>
                                <w:rFonts w:ascii="Arial" w:hAnsi="Arial" w:cs="Arial"/>
                                <w:color w:val="000000" w:themeColor="text1"/>
                              </w:rPr>
                            </w:pPr>
                            <w:hyperlink r:id="rId10" w:anchor=" " w:history="1">
                              <w:r w:rsidRPr="00273CF6">
                                <w:rPr>
                                  <w:rStyle w:val="Hyperlink"/>
                                  <w:rFonts w:ascii="Segoe UI" w:hAnsi="Segoe UI" w:cs="Segoe UI"/>
                                  <w:color w:val="6264A7"/>
                                  <w:szCs w:val="16"/>
                                </w:rPr>
                                <w:t>+1 571-307-</w:t>
                              </w:r>
                              <w:proofErr w:type="gramStart"/>
                              <w:r w:rsidRPr="00273CF6">
                                <w:rPr>
                                  <w:rStyle w:val="Hyperlink"/>
                                  <w:rFonts w:ascii="Segoe UI" w:hAnsi="Segoe UI" w:cs="Segoe UI"/>
                                  <w:color w:val="6264A7"/>
                                  <w:szCs w:val="16"/>
                                </w:rPr>
                                <w:t>5517,,</w:t>
                              </w:r>
                              <w:proofErr w:type="gramEnd"/>
                              <w:r w:rsidR="00FC02EF">
                                <w:rPr>
                                  <w:rStyle w:val="Hyperlink"/>
                                  <w:rFonts w:ascii="Segoe UI" w:hAnsi="Segoe UI" w:cs="Segoe UI"/>
                                  <w:color w:val="6264A7"/>
                                  <w:szCs w:val="16"/>
                                </w:rPr>
                                <w:t>481-664-296</w:t>
                              </w:r>
                              <w:r w:rsidRPr="00273CF6">
                                <w:rPr>
                                  <w:rStyle w:val="Hyperlink"/>
                                  <w:rFonts w:ascii="Segoe UI" w:hAnsi="Segoe UI" w:cs="Segoe UI"/>
                                  <w:color w:val="6264A7"/>
                                  <w:szCs w:val="16"/>
                                </w:rPr>
                                <w:t>#</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Text Box 2" o:spid="_x0000_s1027" type="#_x0000_t202" style="position:absolute;margin-left:153pt;margin-top:237pt;width:341.35pt;height:28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A4EgIAACQEAAAOAAAAZHJzL2Uyb0RvYy54bWysU01v2zAMvQ/YfxB0X5w0TVsYcYqsRYYB&#10;QVsgHXpWZCk2IIsapcTOfv0oOU6KbqdhF5oWKX689zS/7xrDDgp9Dbbgk9GYM2UllLXdFfzH6+rL&#10;HWc+CFsKA1YV/Kg8v198/jRvXa6uoAJTKmRUxPq8dQWvQnB5lnlZqUb4EThlKagBGxHoF3dZiaKl&#10;6o3Jrsbjm6wFLB2CVN7T6WMf5ItUX2slw7PWXgVmCk6zhWQx2W202WIu8h0KV9XyNIb4hykaUVtq&#10;ei71KIJge6z/KNXUEsGDDiMJTQZa11KlHWibyfjDNptKOJV2IXC8O8Pk/19Z+XTYuBdkofsKHREY&#10;AWmdzz0dxn06jU380qSM4gTh8Qyb6gKTdHg9nc4m1zPOJMWms9vJ3e0s1sku1x368E1Bw6JTcCRe&#10;ElzisPahTx1SYjcLq9qYxI2xrC34zXQ2ThfOESpuLPW4DBu90G07VpfvFtlCeaT9EHrqvZOrmmZY&#10;Cx9eBBLXtBLpNzyT0QaoF5w8zirAX387j/lEAUU5a0k7Bfc/9wIVZ+a7JXKi0AYHB2c7OHbfPADJ&#10;cUIvw8nk0gUMZnA1QvNGsl7GLhQSVlKvgofBfQi9gulZSLVcpiSSkxNhbTdOxtIRxYjoa/cm0J1g&#10;D8TYEwyqEvkH9PvcHv/lPoCuEzUR1x7FE9wkxUTu6dlErb//T1mXx734DQAA//8DAFBLAwQUAAYA&#10;CAAAACEA2hs6GuEAAAAMAQAADwAAAGRycy9kb3ducmV2LnhtbEyPy07DMBBF90j8gzVI7KhdWtIQ&#10;4lSIx45nAQl2TmySCD8ie5KGv2dYwW5Gc3Tn3HI7O8smE1MfvITlQgAzvgm6962E15fbkxxYQuW1&#10;ssEbCd8mwbY6PChVocPeP5tphy2jEJ8KJaFDHArOU9MZp9IiDMbT7TNEp5DW2HId1Z7CneWnQmTc&#10;qd7Th04N5qozzddudBLse4p3tcCP6bq9x6dHPr7dLB+kPD6aLy+AoZnxD4ZffVKHipzqMHqdmJWw&#10;Ehl1QQnrzZoGIs7zfAOsJlSssjPgVcn/l6h+AAAA//8DAFBLAQItABQABgAIAAAAIQC2gziS/gAA&#10;AOEBAAATAAAAAAAAAAAAAAAAAAAAAABbQ29udGVudF9UeXBlc10ueG1sUEsBAi0AFAAGAAgAAAAh&#10;ADj9If/WAAAAlAEAAAsAAAAAAAAAAAAAAAAALwEAAF9yZWxzLy5yZWxzUEsBAi0AFAAGAAgAAAAh&#10;ABKqcDgSAgAAJAQAAA4AAAAAAAAAAAAAAAAALgIAAGRycy9lMm9Eb2MueG1sUEsBAi0AFAAGAAgA&#10;AAAhANobOhrhAAAADAEAAA8AAAAAAAAAAAAAAAAAbAQAAGRycy9kb3ducmV2LnhtbFBLBQYAAAAA&#10;BAAEAPMAAAB6BQ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5F56FB55"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1EFEABB6" w14:textId="5BE7AE37" w:rsidR="004B1F79" w:rsidRPr="00BE2EC5" w:rsidRDefault="00BE2EC5" w:rsidP="004B1F79">
                      <w:pPr>
                        <w:pStyle w:val="ListParagraph"/>
                        <w:numPr>
                          <w:ilvl w:val="0"/>
                          <w:numId w:val="6"/>
                        </w:numPr>
                        <w:rPr>
                          <w:rFonts w:ascii="Arial" w:hAnsi="Arial" w:cs="Arial"/>
                          <w:color w:val="252424"/>
                          <w:sz w:val="20"/>
                          <w:szCs w:val="20"/>
                        </w:rPr>
                      </w:pPr>
                      <w:r w:rsidRPr="00BE2EC5">
                        <w:rPr>
                          <w:rFonts w:ascii="Arial" w:hAnsi="Arial" w:cs="Arial"/>
                          <w:color w:val="252424"/>
                          <w:sz w:val="20"/>
                          <w:szCs w:val="20"/>
                        </w:rPr>
                        <w:t>Describe how adequate resuscitation is the single most important step in the management of non-variceal upper gastrointestinal bleeding. The hemoglobin goal is 7mg/dl</w:t>
                      </w:r>
                    </w:p>
                    <w:p w14:paraId="1BEA8874" w14:textId="3856A26E" w:rsidR="00BE2EC5" w:rsidRPr="00BE2EC5" w:rsidRDefault="00BE2EC5" w:rsidP="004B1F79">
                      <w:pPr>
                        <w:pStyle w:val="ListParagraph"/>
                        <w:numPr>
                          <w:ilvl w:val="0"/>
                          <w:numId w:val="6"/>
                        </w:numPr>
                        <w:rPr>
                          <w:rFonts w:ascii="Arial" w:hAnsi="Arial" w:cs="Arial"/>
                          <w:color w:val="252424"/>
                          <w:sz w:val="20"/>
                          <w:szCs w:val="20"/>
                        </w:rPr>
                      </w:pPr>
                      <w:r w:rsidRPr="00BE2EC5">
                        <w:rPr>
                          <w:rFonts w:ascii="Arial" w:hAnsi="Arial" w:cs="Arial"/>
                          <w:color w:val="252424"/>
                          <w:sz w:val="20"/>
                          <w:szCs w:val="20"/>
                        </w:rPr>
                        <w:t>Discuss how urgent endoscopy without adequate resuscitation does not benefit and can harm patients with non-variceal gastrointestinal bleeding</w:t>
                      </w:r>
                    </w:p>
                    <w:p w14:paraId="5B4508DB" w14:textId="6C3D27EF" w:rsidR="00BE2EC5" w:rsidRPr="00BE2EC5" w:rsidRDefault="00BE2EC5" w:rsidP="004B1F79">
                      <w:pPr>
                        <w:pStyle w:val="ListParagraph"/>
                        <w:numPr>
                          <w:ilvl w:val="0"/>
                          <w:numId w:val="6"/>
                        </w:numPr>
                        <w:rPr>
                          <w:rFonts w:ascii="Arial" w:hAnsi="Arial" w:cs="Arial"/>
                          <w:color w:val="252424"/>
                          <w:sz w:val="20"/>
                          <w:szCs w:val="20"/>
                        </w:rPr>
                      </w:pPr>
                      <w:r w:rsidRPr="00BE2EC5">
                        <w:rPr>
                          <w:rFonts w:ascii="Arial" w:hAnsi="Arial" w:cs="Arial"/>
                          <w:color w:val="252424"/>
                          <w:sz w:val="20"/>
                          <w:szCs w:val="20"/>
                        </w:rPr>
                        <w:t>Review H. Pylori testing in the setting of acute non-variceal upper gastrointestinal bleeding is prone false-negative results of up to 50%</w:t>
                      </w:r>
                    </w:p>
                    <w:p w14:paraId="1DD90B80" w14:textId="77777777" w:rsidR="004B1F79" w:rsidRPr="00416A06" w:rsidRDefault="004B1F79"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262A35CC" w:rsidR="00416A06" w:rsidRPr="00AA383A" w:rsidRDefault="00416A06" w:rsidP="00416A06">
                      <w:pPr>
                        <w:pStyle w:val="Bullets-1014BodyCopy"/>
                        <w:ind w:left="360" w:firstLine="0"/>
                        <w:jc w:val="center"/>
                        <w:rPr>
                          <w:rFonts w:ascii="Arial" w:hAnsi="Arial" w:cs="Arial"/>
                          <w:color w:val="000000" w:themeColor="text1"/>
                        </w:rPr>
                      </w:pPr>
                      <w:hyperlink r:id="rId12" w:anchor=" " w:history="1">
                        <w:r w:rsidRPr="00273CF6">
                          <w:rPr>
                            <w:rStyle w:val="Hyperlink"/>
                            <w:rFonts w:ascii="Segoe UI" w:hAnsi="Segoe UI" w:cs="Segoe UI"/>
                            <w:color w:val="6264A7"/>
                            <w:szCs w:val="16"/>
                          </w:rPr>
                          <w:t>+1 571-307-</w:t>
                        </w:r>
                        <w:proofErr w:type="gramStart"/>
                        <w:r w:rsidRPr="00273CF6">
                          <w:rPr>
                            <w:rStyle w:val="Hyperlink"/>
                            <w:rFonts w:ascii="Segoe UI" w:hAnsi="Segoe UI" w:cs="Segoe UI"/>
                            <w:color w:val="6264A7"/>
                            <w:szCs w:val="16"/>
                          </w:rPr>
                          <w:t>5517,,</w:t>
                        </w:r>
                        <w:proofErr w:type="gramEnd"/>
                        <w:r w:rsidR="00FC02EF">
                          <w:rPr>
                            <w:rStyle w:val="Hyperlink"/>
                            <w:rFonts w:ascii="Segoe UI" w:hAnsi="Segoe UI" w:cs="Segoe UI"/>
                            <w:color w:val="6264A7"/>
                            <w:szCs w:val="16"/>
                          </w:rPr>
                          <w:t>481-664-296</w:t>
                        </w:r>
                        <w:r w:rsidRPr="00273CF6">
                          <w:rPr>
                            <w:rStyle w:val="Hyperlink"/>
                            <w:rFonts w:ascii="Segoe UI" w:hAnsi="Segoe UI" w:cs="Segoe UI"/>
                            <w:color w:val="6264A7"/>
                            <w:szCs w:val="16"/>
                          </w:rPr>
                          <w:t>#</w:t>
                        </w:r>
                      </w:hyperlink>
                    </w:p>
                  </w:txbxContent>
                </v:textbox>
              </v:shape>
            </w:pict>
          </mc:Fallback>
        </mc:AlternateContent>
      </w:r>
      <w:r w:rsidR="000715CC">
        <w:rPr>
          <w:noProof/>
        </w:rPr>
        <mc:AlternateContent>
          <mc:Choice Requires="wps">
            <w:drawing>
              <wp:anchor distT="0" distB="0" distL="114300" distR="114300" simplePos="0" relativeHeight="251672576" behindDoc="0" locked="0" layoutInCell="1" allowOverlap="1" wp14:anchorId="5CB61A48" wp14:editId="5ACC2582">
                <wp:simplePos x="0" y="0"/>
                <wp:positionH relativeFrom="column">
                  <wp:posOffset>-333375</wp:posOffset>
                </wp:positionH>
                <wp:positionV relativeFrom="paragraph">
                  <wp:posOffset>3267075</wp:posOffset>
                </wp:positionV>
                <wp:extent cx="2120265" cy="3324225"/>
                <wp:effectExtent l="0" t="0" r="13335" b="9525"/>
                <wp:wrapNone/>
                <wp:docPr id="136689539" name="Text Box 2"/>
                <wp:cNvGraphicFramePr/>
                <a:graphic xmlns:a="http://schemas.openxmlformats.org/drawingml/2006/main">
                  <a:graphicData uri="http://schemas.microsoft.com/office/word/2010/wordprocessingShape">
                    <wps:wsp>
                      <wps:cNvSpPr txBox="1"/>
                      <wps:spPr>
                        <a:xfrm>
                          <a:off x="0" y="0"/>
                          <a:ext cx="2120265" cy="3324225"/>
                        </a:xfrm>
                        <a:prstGeom prst="rect">
                          <a:avLst/>
                        </a:prstGeom>
                        <a:noFill/>
                        <a:ln w="6350">
                          <a:noFill/>
                        </a:ln>
                      </wps:spPr>
                      <wps:txbx>
                        <w:txbxContent>
                          <w:p w14:paraId="57F023D4" w14:textId="60A2FA16"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43AC41F3" w:rsidR="001752CA" w:rsidRPr="003B0FD3" w:rsidRDefault="00BE2EC5" w:rsidP="001752CA">
                            <w:pPr>
                              <w:pStyle w:val="EventDetailsSubheads"/>
                              <w:rPr>
                                <w:rFonts w:ascii="Arial" w:hAnsi="Arial" w:cs="Arial"/>
                                <w:b/>
                                <w:bCs/>
                                <w:color w:val="182D7B"/>
                              </w:rPr>
                            </w:pPr>
                            <w:r>
                              <w:rPr>
                                <w:rFonts w:ascii="Arial" w:hAnsi="Arial" w:cs="Arial"/>
                                <w:b/>
                                <w:bCs/>
                                <w:color w:val="182D7B"/>
                              </w:rPr>
                              <w:t>February 4</w:t>
                            </w:r>
                            <w:r w:rsidR="004B1F79">
                              <w:rPr>
                                <w:rFonts w:ascii="Arial" w:hAnsi="Arial" w:cs="Arial"/>
                                <w:b/>
                                <w:bCs/>
                                <w:color w:val="182D7B"/>
                              </w:rPr>
                              <w:t>, 2025</w:t>
                            </w:r>
                          </w:p>
                          <w:p w14:paraId="0E27EDFD" w14:textId="6BB6C64D" w:rsidR="001752CA" w:rsidRDefault="00AA383A" w:rsidP="001752CA">
                            <w:pPr>
                              <w:pStyle w:val="EventDetailsSubheads"/>
                              <w:rPr>
                                <w:rFonts w:ascii="Arial" w:hAnsi="Arial" w:cs="Arial"/>
                                <w:b/>
                                <w:bCs/>
                                <w:color w:val="182D7B"/>
                              </w:rPr>
                            </w:pPr>
                            <w:r>
                              <w:rPr>
                                <w:rFonts w:ascii="Arial" w:hAnsi="Arial" w:cs="Arial"/>
                                <w:b/>
                                <w:bCs/>
                                <w:color w:val="182D7B"/>
                              </w:rPr>
                              <w:t>12:30pm – 1:30pm</w:t>
                            </w:r>
                          </w:p>
                          <w:p w14:paraId="5DE268E3" w14:textId="77777777" w:rsidR="00405408" w:rsidRPr="003B0FD3" w:rsidRDefault="00405408" w:rsidP="001752CA">
                            <w:pPr>
                              <w:pStyle w:val="EventDetailsSubheads"/>
                              <w:rPr>
                                <w:rFonts w:ascii="Arial" w:hAnsi="Arial" w:cs="Arial"/>
                                <w:b/>
                                <w:bCs/>
                                <w:color w:val="182D7B"/>
                              </w:rPr>
                            </w:pPr>
                          </w:p>
                          <w:p w14:paraId="28B5E2C1" w14:textId="426AD0DB" w:rsidR="00F65E43" w:rsidRPr="004E2FDF" w:rsidRDefault="001752CA" w:rsidP="00F65E43">
                            <w:pPr>
                              <w:rPr>
                                <w:rFonts w:ascii="Aptos" w:eastAsia="Times New Roman" w:hAnsi="Aptos" w:cs="Calibri"/>
                                <w:b/>
                                <w:bCs/>
                                <w:color w:val="FF0000"/>
                                <w:kern w:val="0"/>
                                <w:sz w:val="22"/>
                                <w:szCs w:val="22"/>
                                <w14:ligatures w14:val="none"/>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text</w:t>
                            </w:r>
                            <w:r w:rsidR="00940715" w:rsidRPr="00940715">
                              <w:rPr>
                                <w:rFonts w:ascii="Aptos" w:hAnsi="Aptos"/>
                                <w:color w:val="FF0000"/>
                                <w:sz w:val="22"/>
                                <w:szCs w:val="22"/>
                              </w:rPr>
                              <w:t>.</w:t>
                            </w:r>
                          </w:p>
                          <w:p w14:paraId="2CE1CA05" w14:textId="520BC5F3" w:rsidR="001752CA" w:rsidRPr="003B0FD3" w:rsidRDefault="001752CA" w:rsidP="00F65E43">
                            <w:pPr>
                              <w:rPr>
                                <w:rFonts w:ascii="Arial" w:hAnsi="Arial" w:cs="Arial"/>
                                <w:b/>
                                <w:bCs/>
                                <w:color w:val="182D7B"/>
                              </w:rPr>
                            </w:pPr>
                            <w:r w:rsidRPr="003B0FD3">
                              <w:rPr>
                                <w:rFonts w:ascii="Arial" w:hAnsi="Arial" w:cs="Arial"/>
                                <w:b/>
                                <w:bCs/>
                                <w:color w:val="182D7B"/>
                              </w:rP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8" type="#_x0000_t202" style="position:absolute;margin-left:-26.25pt;margin-top:257.25pt;width:166.95pt;height:26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ygEgIAACQEAAAOAAAAZHJzL2Uyb0RvYy54bWysU02L2zAQvRf6H4TujR2nCcXEWdJdUgph&#10;dyFb9qzIUiyQNaqkxE5/fUdynCzbnkov47FmNB/vPS3v+laTk3BeganodJJTIgyHWplDRX+8bD59&#10;ocQHZmqmwYiKnoWnd6uPH5adLUUBDehaOIJFjC87W9EmBFtmmeeNaJmfgBUGgxJcywL+ukNWO9Zh&#10;9VZnRZ4vsg5cbR1w4T2ePgxBukr1pRQ8PEnpRSC6ojhbSNYlu482Wy1ZeXDMNopfxmD/MEXLlMGm&#10;11IPLDBydOqPUq3iDjzIMOHQZiCl4iLtgNtM83fb7BpmRdoFwfH2CpP/f2X542lnnx0J/VfokcAI&#10;SGd96fEw7tNL18YvTkowjhCer7CJPhCOh8W0yIvFnBKOsdms+FwU81gnu123zodvAloSnYo65CXB&#10;xU5bH4bUMSV2M7BRWidutCFdRRezeZ4uXCNYXBvscRs2eqHf90TVONO4yB7qM+7nYKDeW75ROMOW&#10;+fDMHHKNK6F+wxMaqQF7wcWjpAH362/nMR8pwCglHWqnov7nkTlBif5ukJwotNFxo7MfHXNs7wHl&#10;OMWXYXly8YILenSlg/YVZb2OXTDEDMdeFQ2jex8GBeOz4GK9TkkoJ8vC1uwsj6UjihHRl/6VOXuB&#10;PSBjjzCqipXv0B9yB/zXxwBSJWoirgOKF7hRioncy7OJWn/7n7Juj3v1GwAA//8DAFBLAwQUAAYA&#10;CAAAACEAOrxNmeEAAAAMAQAADwAAAGRycy9kb3ducmV2LnhtbEyPTU+EMBCG7yb+h2ZMvO224GII&#10;UjbGj5uf626it0IrEOmUtIXFf+940ttM5sk7z1tuFzuw2fjQO5SQrAUwg43TPbYS9m/3qxxYiAq1&#10;GhwaCd8mwLY6PSlVod0RX828iy2jEAyFktDFOBach6YzVoW1Gw3S7dN5qyKtvuXaqyOF24GnQlxy&#10;q3qkD50azU1nmq/dZCUM78E/1CJ+zLftY3x55tPhLnmS8vxsub4CFs0S/2D41Sd1qMipdhPqwAYJ&#10;qyzNCJWQJRsaiEjzZAOsJlRc5AJ4VfL/JaofAAAA//8DAFBLAQItABQABgAIAAAAIQC2gziS/gAA&#10;AOEBAAATAAAAAAAAAAAAAAAAAAAAAABbQ29udGVudF9UeXBlc10ueG1sUEsBAi0AFAAGAAgAAAAh&#10;ADj9If/WAAAAlAEAAAsAAAAAAAAAAAAAAAAALwEAAF9yZWxzLy5yZWxzUEsBAi0AFAAGAAgAAAAh&#10;AFZ+nKASAgAAJAQAAA4AAAAAAAAAAAAAAAAALgIAAGRycy9lMm9Eb2MueG1sUEsBAi0AFAAGAAgA&#10;AAAhADq8TZnhAAAADAEAAA8AAAAAAAAAAAAAAAAAbAQAAGRycy9kb3ducmV2LnhtbFBLBQYAAAAA&#10;BAAEAPMAAAB6BQAAAAA=&#10;" filled="f" stroked="f" strokeweight=".5pt">
                <v:textbox inset="0,0,0,0">
                  <w:txbxContent>
                    <w:p w14:paraId="57F023D4" w14:textId="60A2FA16"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43AC41F3" w:rsidR="001752CA" w:rsidRPr="003B0FD3" w:rsidRDefault="00BE2EC5" w:rsidP="001752CA">
                      <w:pPr>
                        <w:pStyle w:val="EventDetailsSubheads"/>
                        <w:rPr>
                          <w:rFonts w:ascii="Arial" w:hAnsi="Arial" w:cs="Arial"/>
                          <w:b/>
                          <w:bCs/>
                          <w:color w:val="182D7B"/>
                        </w:rPr>
                      </w:pPr>
                      <w:r>
                        <w:rPr>
                          <w:rFonts w:ascii="Arial" w:hAnsi="Arial" w:cs="Arial"/>
                          <w:b/>
                          <w:bCs/>
                          <w:color w:val="182D7B"/>
                        </w:rPr>
                        <w:t>February 4</w:t>
                      </w:r>
                      <w:r w:rsidR="004B1F79">
                        <w:rPr>
                          <w:rFonts w:ascii="Arial" w:hAnsi="Arial" w:cs="Arial"/>
                          <w:b/>
                          <w:bCs/>
                          <w:color w:val="182D7B"/>
                        </w:rPr>
                        <w:t>, 2025</w:t>
                      </w:r>
                    </w:p>
                    <w:p w14:paraId="0E27EDFD" w14:textId="6BB6C64D" w:rsidR="001752CA" w:rsidRDefault="00AA383A" w:rsidP="001752CA">
                      <w:pPr>
                        <w:pStyle w:val="EventDetailsSubheads"/>
                        <w:rPr>
                          <w:rFonts w:ascii="Arial" w:hAnsi="Arial" w:cs="Arial"/>
                          <w:b/>
                          <w:bCs/>
                          <w:color w:val="182D7B"/>
                        </w:rPr>
                      </w:pPr>
                      <w:r>
                        <w:rPr>
                          <w:rFonts w:ascii="Arial" w:hAnsi="Arial" w:cs="Arial"/>
                          <w:b/>
                          <w:bCs/>
                          <w:color w:val="182D7B"/>
                        </w:rPr>
                        <w:t>12:30pm – 1:30pm</w:t>
                      </w:r>
                    </w:p>
                    <w:p w14:paraId="5DE268E3" w14:textId="77777777" w:rsidR="00405408" w:rsidRPr="003B0FD3" w:rsidRDefault="00405408" w:rsidP="001752CA">
                      <w:pPr>
                        <w:pStyle w:val="EventDetailsSubheads"/>
                        <w:rPr>
                          <w:rFonts w:ascii="Arial" w:hAnsi="Arial" w:cs="Arial"/>
                          <w:b/>
                          <w:bCs/>
                          <w:color w:val="182D7B"/>
                        </w:rPr>
                      </w:pPr>
                    </w:p>
                    <w:p w14:paraId="28B5E2C1" w14:textId="426AD0DB" w:rsidR="00F65E43" w:rsidRPr="004E2FDF" w:rsidRDefault="001752CA" w:rsidP="00F65E43">
                      <w:pPr>
                        <w:rPr>
                          <w:rFonts w:ascii="Aptos" w:eastAsia="Times New Roman" w:hAnsi="Aptos" w:cs="Calibri"/>
                          <w:b/>
                          <w:bCs/>
                          <w:color w:val="FF0000"/>
                          <w:kern w:val="0"/>
                          <w:sz w:val="22"/>
                          <w:szCs w:val="22"/>
                          <w14:ligatures w14:val="none"/>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text</w:t>
                      </w:r>
                      <w:r w:rsidR="00940715" w:rsidRPr="00940715">
                        <w:rPr>
                          <w:rFonts w:ascii="Aptos" w:hAnsi="Aptos"/>
                          <w:color w:val="FF0000"/>
                          <w:sz w:val="22"/>
                          <w:szCs w:val="22"/>
                        </w:rPr>
                        <w:t>.</w:t>
                      </w:r>
                    </w:p>
                    <w:p w14:paraId="2CE1CA05" w14:textId="520BC5F3" w:rsidR="001752CA" w:rsidRPr="003B0FD3" w:rsidRDefault="001752CA" w:rsidP="00F65E43">
                      <w:pPr>
                        <w:rPr>
                          <w:rFonts w:ascii="Arial" w:hAnsi="Arial" w:cs="Arial"/>
                          <w:b/>
                          <w:bCs/>
                          <w:color w:val="182D7B"/>
                        </w:rPr>
                      </w:pPr>
                      <w:r w:rsidRPr="003B0FD3">
                        <w:rPr>
                          <w:rFonts w:ascii="Arial" w:hAnsi="Arial" w:cs="Arial"/>
                          <w:b/>
                          <w:bCs/>
                          <w:color w:val="182D7B"/>
                        </w:rPr>
                        <w:t>to 703.260.9391</w:t>
                      </w:r>
                      <w:r w:rsidR="00416A06">
                        <w:rPr>
                          <w:rFonts w:ascii="Arial" w:hAnsi="Arial" w:cs="Arial"/>
                          <w:b/>
                          <w:bCs/>
                          <w:color w:val="182D7B"/>
                        </w:rPr>
                        <w:t xml:space="preserve"> or log into the CME website cme.inova.org</w:t>
                      </w:r>
                    </w:p>
                  </w:txbxContent>
                </v:textbox>
              </v:shape>
            </w:pict>
          </mc:Fallback>
        </mc:AlternateContent>
      </w:r>
      <w:r w:rsidR="000A4994">
        <w:rPr>
          <w:noProof/>
        </w:rPr>
        <mc:AlternateContent>
          <mc:Choice Requires="wps">
            <w:drawing>
              <wp:anchor distT="0" distB="0" distL="114300" distR="114300" simplePos="0" relativeHeight="251659264" behindDoc="0" locked="0" layoutInCell="1" allowOverlap="1" wp14:anchorId="4F28362F" wp14:editId="13366BB1">
                <wp:simplePos x="0" y="0"/>
                <wp:positionH relativeFrom="margin">
                  <wp:posOffset>-342900</wp:posOffset>
                </wp:positionH>
                <wp:positionV relativeFrom="paragraph">
                  <wp:posOffset>838200</wp:posOffset>
                </wp:positionV>
                <wp:extent cx="6623050" cy="1009650"/>
                <wp:effectExtent l="0" t="0" r="6350" b="0"/>
                <wp:wrapNone/>
                <wp:docPr id="301593006" name="Text Box 2"/>
                <wp:cNvGraphicFramePr/>
                <a:graphic xmlns:a="http://schemas.openxmlformats.org/drawingml/2006/main">
                  <a:graphicData uri="http://schemas.microsoft.com/office/word/2010/wordprocessingShape">
                    <wps:wsp>
                      <wps:cNvSpPr txBox="1"/>
                      <wps:spPr>
                        <a:xfrm>
                          <a:off x="0" y="0"/>
                          <a:ext cx="6623050" cy="1009650"/>
                        </a:xfrm>
                        <a:prstGeom prst="rect">
                          <a:avLst/>
                        </a:prstGeom>
                        <a:noFill/>
                        <a:ln w="6350">
                          <a:noFill/>
                        </a:ln>
                      </wps:spPr>
                      <wps:txbx>
                        <w:txbxContent>
                          <w:p w14:paraId="3E524F27" w14:textId="058814C2" w:rsidR="00ED74B0" w:rsidRPr="00470521" w:rsidRDefault="00BE2EC5" w:rsidP="00824559">
                            <w:pPr>
                              <w:spacing w:after="4"/>
                              <w:rPr>
                                <w:rFonts w:ascii="Times New Roman" w:hAnsi="Times New Roman" w:cs="Times New Roman"/>
                                <w:color w:val="FFFFFF" w:themeColor="background1"/>
                                <w:sz w:val="44"/>
                                <w:szCs w:val="44"/>
                              </w:rPr>
                            </w:pPr>
                            <w:r>
                              <w:rPr>
                                <w:rFonts w:ascii="Times New Roman" w:hAnsi="Times New Roman" w:cs="Times New Roman"/>
                                <w:color w:val="FFFFFF" w:themeColor="background1"/>
                                <w:sz w:val="44"/>
                                <w:szCs w:val="44"/>
                              </w:rPr>
                              <w:t>Non-Variceal Upper Gastrointestinal Bleeding: What the Internist Should Know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9" type="#_x0000_t202" style="position:absolute;margin-left:-27pt;margin-top:66pt;width:521.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MEAIAACQEAAAOAAAAZHJzL2Uyb0RvYy54bWysU8Fu2zAMvQ/YPwi6L3YSLNiMOEXWIsOA&#10;oC2QDj0rshQbkEWNUmJ3Xz9KjpOu22nYhaZE+pF8j1re9K1hJ4W+AVvy6STnTFkJVWMPJf/+tPnw&#10;iTMfhK2EAatK/qI8v1m9f7fsXKFmUIOpFDICsb7oXMnrEFyRZV7WqhV+Ak5ZCmrAVgQ64iGrUHSE&#10;3ppslueLrAOsHIJU3tPt3RDkq4SvtZLhQWuvAjMlp95CspjsPtpstRTFAYWrG3luQ/xDF61oLBW9&#10;QN2JINgRmz+g2kYieNBhIqHNQOtGqjQDTTPN30yzq4VTaRYix7sLTf7/wcr70849Igv9F+hJwEhI&#10;53zh6TLO02ts45c6ZRQnCl8utKk+MEmXi8Vsnn+kkKTYNM8/L+hAONn1d4c+fFXQsuiUHEmXRJc4&#10;bX0YUseUWM3CpjEmaWMs66jEnCB/ixC4sVTj2mz0Qr/vWVOVfD4OsofqheZDGKT3Tm4a6mErfHgU&#10;SFpT37S/4YGMNkC14OxxVgP+/Nt9zCcJKMpZR7tTcv/jKFBxZr5ZEicu2ujg6OxHxx7bW6B1nNLL&#10;cDK59AMGM7oaoX2mtV7HKhQSVlKtkofRvQ3DBtOzkGq9Tkm0Tk6Erd05GaEjV5HRp/5ZoDvTHkix&#10;exi3ShRv2B9yB5bXxwC6SdJEXgcWz3TTKiZxz88m7vrrc8q6Pu7VLwAAAP//AwBQSwMEFAAGAAgA&#10;AAAhADqsYu/fAAAACwEAAA8AAABkcnMvZG93bnJldi54bWxMj8lOxDAQRO9I/IPVSNxm7IRFkxBn&#10;hFhurANIcHPiJonwEtlOJvw9zQlu1apS9atqu1jDZgxx8E5CthbA0LVeD66T8Ppyu9oAi0k5rYx3&#10;KOEbI2zrw4NKldrv3TPOu9QxKnGxVBL6lMaS89j2aFVc+xEdeZ8+WJXoDB3XQe2p3BqeC3HOrRoc&#10;fejViFc9tl+7yUow7zHcNSJ9zNfdfXp65NPbTfYg5fHRcnkBLOGS/sLwi0/oUBNT4yenIzMSVmen&#10;tCWRcZKToESxKUg0EvIiE8Driv/fUP8AAAD//wMAUEsBAi0AFAAGAAgAAAAhALaDOJL+AAAA4QEA&#10;ABMAAAAAAAAAAAAAAAAAAAAAAFtDb250ZW50X1R5cGVzXS54bWxQSwECLQAUAAYACAAAACEAOP0h&#10;/9YAAACUAQAACwAAAAAAAAAAAAAAAAAvAQAAX3JlbHMvLnJlbHNQSwECLQAUAAYACAAAACEAfkDd&#10;jBACAAAkBAAADgAAAAAAAAAAAAAAAAAuAgAAZHJzL2Uyb0RvYy54bWxQSwECLQAUAAYACAAAACEA&#10;Oqxi798AAAALAQAADwAAAAAAAAAAAAAAAABqBAAAZHJzL2Rvd25yZXYueG1sUEsFBgAAAAAEAAQA&#10;8wAAAHYFAAAAAA==&#10;" filled="f" stroked="f" strokeweight=".5pt">
                <v:textbox inset="0,0,0,0">
                  <w:txbxContent>
                    <w:p w14:paraId="3E524F27" w14:textId="058814C2" w:rsidR="00ED74B0" w:rsidRPr="00470521" w:rsidRDefault="00BE2EC5" w:rsidP="00824559">
                      <w:pPr>
                        <w:spacing w:after="4"/>
                        <w:rPr>
                          <w:rFonts w:ascii="Times New Roman" w:hAnsi="Times New Roman" w:cs="Times New Roman"/>
                          <w:color w:val="FFFFFF" w:themeColor="background1"/>
                          <w:sz w:val="44"/>
                          <w:szCs w:val="44"/>
                        </w:rPr>
                      </w:pPr>
                      <w:r>
                        <w:rPr>
                          <w:rFonts w:ascii="Times New Roman" w:hAnsi="Times New Roman" w:cs="Times New Roman"/>
                          <w:color w:val="FFFFFF" w:themeColor="background1"/>
                          <w:sz w:val="44"/>
                          <w:szCs w:val="44"/>
                        </w:rPr>
                        <w:t>Non-Variceal Upper Gastrointestinal Bleeding: What the Internist Should Know</w:t>
                      </w:r>
                    </w:p>
                  </w:txbxContent>
                </v:textbox>
                <w10:wrap anchorx="margin"/>
              </v:shape>
            </w:pict>
          </mc:Fallback>
        </mc:AlternateContent>
      </w:r>
      <w:r w:rsidR="00FE4100">
        <w:rPr>
          <w:noProof/>
        </w:rPr>
        <mc:AlternateContent>
          <mc:Choice Requires="wps">
            <w:drawing>
              <wp:anchor distT="0" distB="0" distL="114300" distR="114300" simplePos="0" relativeHeight="251674624" behindDoc="0" locked="0" layoutInCell="1" allowOverlap="1" wp14:anchorId="214101EA" wp14:editId="5C9F15B6">
                <wp:simplePos x="0" y="0"/>
                <wp:positionH relativeFrom="column">
                  <wp:posOffset>-295275</wp:posOffset>
                </wp:positionH>
                <wp:positionV relativeFrom="paragraph">
                  <wp:posOffset>6467475</wp:posOffset>
                </wp:positionV>
                <wp:extent cx="6614160" cy="153352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533525"/>
                        </a:xfrm>
                        <a:prstGeom prst="rect">
                          <a:avLst/>
                        </a:prstGeom>
                        <a:noFill/>
                        <a:ln w="6350">
                          <a:noFill/>
                        </a:ln>
                      </wps:spPr>
                      <wps:txbx>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0" type="#_x0000_t202" style="position:absolute;margin-left:-23.25pt;margin-top:509.25pt;width:520.8pt;height:1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fzAEgIAACQEAAAOAAAAZHJzL2Uyb0RvYy54bWysU02P2jAQvVfqf7B8LyGwoCoirOiuqCqh&#10;3ZXYas/GsSGS43HHhoT++o4dAtW2p6qXycQzno/3nhf3XWPYSaGvwZY8H405U1ZCVdt9yb+/rj99&#10;5swHYSthwKqSn5Xn98uPHxatK9QEDmAqhYyKWF+0ruSHEFyRZV4eVCP8CJyyFNSAjQj0i/usQtFS&#10;9cZkk/F4nrWAlUOQyns6feyDfJnqa61keNbaq8BMyWm2kCwmu4s2Wy5EsUfhDrW8jCH+YYpG1Jaa&#10;Xks9iiDYEes/SjW1RPCgw0hCk4HWtVRpB9omH7/bZnsQTqVdCBzvrjD5/1dWPp227gVZ6L5ARwRG&#10;QFrnC0+HcZ9OYxO/NCmjOEF4vsKmusAkHc7n+V0+p5CkWD6bTmeTWayT3a479OGrgoZFp+RIvCS4&#10;xGnjQ586pMRuFta1MYkbY1lLLaazcbpwjVBxY6nHbdjohW7Xsboq+d2wyA6qM+2H0FPvnVzXNMNG&#10;+PAikLimuUm/4ZmMNkC94OJxdgD8+bfzmE8UUJSzlrRTcv/jKFBxZr5ZIicKbXBwcHaDY4/NA5Ac&#10;c3oZTiaXLmAwg6sRmjeS9Sp2oZCwknqVPAzuQ+gVTM9CqtUqJZGcnAgbu3Uylo4oRkRfuzeB7gJ7&#10;IMaeYFCVKN6h3+f2+K+OAXSdqIm49ihe4CYpJnIvzyZq/ff/lHV73MtfAAAA//8DAFBLAwQUAAYA&#10;CAAAACEA0iW6jeEAAAANAQAADwAAAGRycy9kb3ducmV2LnhtbEyPS0/DMBCE70j8B2uRuLV2Khq1&#10;IU6FeNyAQgEJbk68JBF+RLaThn/PcoLb7s5o9ptyN1vDJgyx905CthTA0DVe966V8Ppyt9gAi0k5&#10;rYx3KOEbI+yq05NSFdof3TNOh9QyCnGxUBK6lIaC89h0aFVc+gEdaZ8+WJVoDS3XQR0p3Bq+EiLn&#10;VvWOPnRqwOsOm6/DaCWY9xjua5E+ppv2IT3t+fh2mz1KeX42X10CSzinPzP84hM6VMRU+9HpyIyE&#10;xUW+JisJItvQRJbtdp0Bq+m0yoUAXpX8f4vqBwAA//8DAFBLAQItABQABgAIAAAAIQC2gziS/gAA&#10;AOEBAAATAAAAAAAAAAAAAAAAAAAAAABbQ29udGVudF9UeXBlc10ueG1sUEsBAi0AFAAGAAgAAAAh&#10;ADj9If/WAAAAlAEAAAsAAAAAAAAAAAAAAAAALwEAAF9yZWxzLy5yZWxzUEsBAi0AFAAGAAgAAAAh&#10;APRt/MASAgAAJAQAAA4AAAAAAAAAAAAAAAAALgIAAGRycy9lMm9Eb2MueG1sUEsBAi0AFAAGAAgA&#10;AAAhANIluo3hAAAADQEAAA8AAAAAAAAAAAAAAAAAbAQAAGRycy9kb3ducmV2LnhtbFBLBQYAAAAA&#10;BAAEAPMAAAB6BQAAAAA=&#10;" filled="f" stroked="f" strokeweight=".5pt">
                <v:textbox inset="0,0,0,0">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1"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OW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jTfpitSA4woxKtYrSktwX0cE+0eSIKJAJn&#10;DrI3j/BISwG1RGdhlAv149y69Yczg12MapBcjPX3HVEMo/ILh9O0+uwN1Rvb3uC7ai1AxSP4oUjq&#10;TAhQpuzNVInqBf4GK1sFtginUCvGpjfXphU+/E0oW62cE6hQEnPPN5La1BZFi+hz80KU7GA3cF4P&#10;oucLiU7Qb31b/Fc7I9LCHY3FtUWxgxu42xLov5M4CGfjMAwDgKol8cYoUmS5QWvBOZBIKDTrTxro&#10;vOad/HtO9AIctB8AOxcTUOqJzHsmT8P5LJy2Qv4DicuCW9m9gdHy3C63zB0t/I66WpRFYnltN7XK&#10;tutSoT0BJgST69XntZ0DWP3K7TzHtTmUrC3wlaXAdqddl9ReNmxISyhl3DhZu0zgbb1SaGEIbFXl&#10;bqnfBXb+NpS5i+hvgocIV1lwMwRXBRfK4XdS3TR9y2nr36u8nftIR4uX/XJ8dL9YuFscht09aC+v&#10;19/O/3hbL38C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IJzg5ZGAwAA9QcAAA4AAAAAAAAAAAAAAAAALgIAAGRy&#10;cy9lMm9Eb2MueG1sUEsBAi0AFAAGAAgAAAAhAGGDCs7iAAAADQEAAA8AAAAAAAAAAAAAAAAAoAUA&#10;AGRycy9kb3ducmV2LnhtbFBLBQYAAAAABAAEAPMAAACvBgAAAAA=&#10;">
                <v:shape id="_x0000_s1032"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3"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2728550F">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587D0F"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w:drawing>
          <wp:anchor distT="0" distB="0" distL="114300" distR="114300" simplePos="0" relativeHeight="251655167" behindDoc="1" locked="0" layoutInCell="1" allowOverlap="1" wp14:anchorId="181EF531" wp14:editId="76B11FFB">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0288" behindDoc="0" locked="0" layoutInCell="1" allowOverlap="1" wp14:anchorId="0424CF75" wp14:editId="2E33AEFF">
                <wp:simplePos x="0" y="0"/>
                <wp:positionH relativeFrom="column">
                  <wp:posOffset>-334010</wp:posOffset>
                </wp:positionH>
                <wp:positionV relativeFrom="paragraph">
                  <wp:posOffset>484505</wp:posOffset>
                </wp:positionV>
                <wp:extent cx="3195320" cy="162560"/>
                <wp:effectExtent l="0" t="0" r="5080" b="8890"/>
                <wp:wrapNone/>
                <wp:docPr id="203065400"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4" type="#_x0000_t202" style="position:absolute;margin-left:-26.3pt;margin-top:38.15pt;width:251.6pt;height:1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hnEAIAACMEAAAOAAAAZHJzL2Uyb0RvYy54bWysU02L2zAQvRf6H4TujfNBQmviLOkuKYWw&#10;u5Ate1ZkKTbIGnWkxE5/fUdynCzbnkov8ljz/d7T8q5rDDsp9DXYgk9GY86UlVDW9lDwHy+bT585&#10;80HYUhiwquBn5fnd6uOHZetyNYUKTKmQURHr89YVvArB5VnmZaUa4UfglCWnBmxEoF88ZCWKlqo3&#10;JpuOx4usBSwdglTe0+1D7+SrVF9rJcOT1l4FZgpOs4V0Yjr38cxWS5EfULiqlpcxxD9M0YjaUtNr&#10;qQcRBDti/UepppYIHnQYSWgy0LqWKu1A20zG77bZVcKptAuB490VJv//ysrH0849IwvdV+iIwAhI&#10;63zu6TLu02ls4pcmZeQnCM9X2FQXmKTL2eTLfDYllyTfZDGdLxKu2S3boQ/fFDQsGgVHoiWhJU5b&#10;H6gjhQ4hsZmFTW1MosZY1hZ8MZuPU8LVQxnGUuJt1miFbt+xuqSEYY89lGdaD6Fn3ju5qWmGrfDh&#10;WSBRTWOTfMMTHdoA9YKLxVkF+Otv9zGeGCAvZy1Jp+D+51Gg4sx8t8RN1Nlg4GDsB8Mem3sgNU7o&#10;YTiZTErAYAZTIzSvpOp17EIuYSX1KngYzPvQC5hehVTrdQoiNTkRtnbnZCwdUYyIvnSvAt0F9kCE&#10;PcIgKpG/Q7+P7fFfHwPoOlETce1RvMBNSkyMXV5NlPrb/xR1e9ur3wAAAP//AwBQSwMEFAAGAAgA&#10;AAAhAE9JITLgAAAACgEAAA8AAABkcnMvZG93bnJldi54bWxMj8tOwzAQRfdI/IM1SOxaO4UGCHEq&#10;xGNHeRSQYOfEJomwx5HtpOHvGVawnJmjO+eWm9lZNpkQe48SsqUAZrDxusdWwuvL3eIcWEwKtbIe&#10;jYRvE2FTHR6UqtB+j89m2qWWUQjGQknoUhoKzmPTGafi0g8G6fbpg1OJxtByHdSewp3lKyFy7lSP&#10;9KFTg7nuTPO1G50E+x7DfS3Sx3TTbtPTIx/fbrMHKY+P5qtLYMnM6Q+GX31Sh4qcaj+ijsxKWKxX&#10;OaESzvITYAScrgUtaiJFdgG8Kvn/CtUPAAAA//8DAFBLAQItABQABgAIAAAAIQC2gziS/gAAAOEB&#10;AAATAAAAAAAAAAAAAAAAAAAAAABbQ29udGVudF9UeXBlc10ueG1sUEsBAi0AFAAGAAgAAAAhADj9&#10;If/WAAAAlAEAAAsAAAAAAAAAAAAAAAAALwEAAF9yZWxzLy5yZWxzUEsBAi0AFAAGAAgAAAAhAG2R&#10;yGcQAgAAIwQAAA4AAAAAAAAAAAAAAAAALgIAAGRycy9lMm9Eb2MueG1sUEsBAi0AFAAGAAgAAAAh&#10;AE9JITLgAAAACgEAAA8AAAAAAAAAAAAAAAAAagQAAGRycy9kb3ducmV2LnhtbFBLBQYAAAAABAAE&#10;APMAAAB3BQAAAAA=&#10;" filled="f" stroked="f" strokeweight=".5pt">
                <v:textbox inset="0,0,0,0">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v:textbox>
              </v:shape>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CC60EA9"/>
    <w:multiLevelType w:val="hybridMultilevel"/>
    <w:tmpl w:val="43FC7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475DF7"/>
    <w:multiLevelType w:val="hybridMultilevel"/>
    <w:tmpl w:val="36221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537621354">
    <w:abstractNumId w:val="4"/>
  </w:num>
  <w:num w:numId="2" w16cid:durableId="880749782">
    <w:abstractNumId w:val="5"/>
  </w:num>
  <w:num w:numId="3" w16cid:durableId="811141184">
    <w:abstractNumId w:val="1"/>
  </w:num>
  <w:num w:numId="4" w16cid:durableId="554436598">
    <w:abstractNumId w:val="0"/>
  </w:num>
  <w:num w:numId="5" w16cid:durableId="656879295">
    <w:abstractNumId w:val="3"/>
  </w:num>
  <w:num w:numId="6" w16cid:durableId="1500197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06DEB"/>
    <w:rsid w:val="00027ED1"/>
    <w:rsid w:val="00053D0A"/>
    <w:rsid w:val="00066816"/>
    <w:rsid w:val="000715CC"/>
    <w:rsid w:val="00091CC9"/>
    <w:rsid w:val="00097E33"/>
    <w:rsid w:val="000A227A"/>
    <w:rsid w:val="000A4994"/>
    <w:rsid w:val="000E7813"/>
    <w:rsid w:val="000F4D63"/>
    <w:rsid w:val="00167BEB"/>
    <w:rsid w:val="001752CA"/>
    <w:rsid w:val="0019763E"/>
    <w:rsid w:val="001A7516"/>
    <w:rsid w:val="001D222B"/>
    <w:rsid w:val="0022670D"/>
    <w:rsid w:val="00226EB0"/>
    <w:rsid w:val="00232EAF"/>
    <w:rsid w:val="002D3181"/>
    <w:rsid w:val="003043B8"/>
    <w:rsid w:val="00314FAF"/>
    <w:rsid w:val="00327D04"/>
    <w:rsid w:val="003303C7"/>
    <w:rsid w:val="00336048"/>
    <w:rsid w:val="00370D2A"/>
    <w:rsid w:val="003764EA"/>
    <w:rsid w:val="00384326"/>
    <w:rsid w:val="00385622"/>
    <w:rsid w:val="003B0FD3"/>
    <w:rsid w:val="003C23EA"/>
    <w:rsid w:val="003C72F3"/>
    <w:rsid w:val="003E0F66"/>
    <w:rsid w:val="00405408"/>
    <w:rsid w:val="00416A06"/>
    <w:rsid w:val="004239D7"/>
    <w:rsid w:val="00465386"/>
    <w:rsid w:val="00470521"/>
    <w:rsid w:val="004804CF"/>
    <w:rsid w:val="00491824"/>
    <w:rsid w:val="00493755"/>
    <w:rsid w:val="00493CB6"/>
    <w:rsid w:val="004B1F79"/>
    <w:rsid w:val="004B282A"/>
    <w:rsid w:val="004C455D"/>
    <w:rsid w:val="004E2FDF"/>
    <w:rsid w:val="00504F6D"/>
    <w:rsid w:val="005143A1"/>
    <w:rsid w:val="00542323"/>
    <w:rsid w:val="00554977"/>
    <w:rsid w:val="0057022A"/>
    <w:rsid w:val="00572B72"/>
    <w:rsid w:val="005D0F04"/>
    <w:rsid w:val="005F7929"/>
    <w:rsid w:val="006564D8"/>
    <w:rsid w:val="00665F1B"/>
    <w:rsid w:val="00683EF6"/>
    <w:rsid w:val="00697314"/>
    <w:rsid w:val="00697D02"/>
    <w:rsid w:val="006C7844"/>
    <w:rsid w:val="007108EB"/>
    <w:rsid w:val="007647C3"/>
    <w:rsid w:val="007C0A72"/>
    <w:rsid w:val="007C5336"/>
    <w:rsid w:val="007D26CB"/>
    <w:rsid w:val="007D3797"/>
    <w:rsid w:val="00820C45"/>
    <w:rsid w:val="00824559"/>
    <w:rsid w:val="00835906"/>
    <w:rsid w:val="008452FB"/>
    <w:rsid w:val="00846A33"/>
    <w:rsid w:val="008567D4"/>
    <w:rsid w:val="00863B11"/>
    <w:rsid w:val="00863DB0"/>
    <w:rsid w:val="0087620D"/>
    <w:rsid w:val="008D45D4"/>
    <w:rsid w:val="008E4D7D"/>
    <w:rsid w:val="009212B3"/>
    <w:rsid w:val="00940715"/>
    <w:rsid w:val="00945119"/>
    <w:rsid w:val="00952FD6"/>
    <w:rsid w:val="00990E02"/>
    <w:rsid w:val="009A0E54"/>
    <w:rsid w:val="009A1BAE"/>
    <w:rsid w:val="009A5819"/>
    <w:rsid w:val="009B07AB"/>
    <w:rsid w:val="009B1BA4"/>
    <w:rsid w:val="009B2390"/>
    <w:rsid w:val="009C3B93"/>
    <w:rsid w:val="009C6076"/>
    <w:rsid w:val="00A11BBD"/>
    <w:rsid w:val="00A21A10"/>
    <w:rsid w:val="00A36837"/>
    <w:rsid w:val="00A54F80"/>
    <w:rsid w:val="00A70167"/>
    <w:rsid w:val="00A80EB9"/>
    <w:rsid w:val="00AA383A"/>
    <w:rsid w:val="00AD281A"/>
    <w:rsid w:val="00AF54E3"/>
    <w:rsid w:val="00B07ABB"/>
    <w:rsid w:val="00B65B50"/>
    <w:rsid w:val="00B81A90"/>
    <w:rsid w:val="00B929DC"/>
    <w:rsid w:val="00BA069A"/>
    <w:rsid w:val="00BB28AD"/>
    <w:rsid w:val="00BE2EC5"/>
    <w:rsid w:val="00BF43B6"/>
    <w:rsid w:val="00C124BC"/>
    <w:rsid w:val="00C53F7B"/>
    <w:rsid w:val="00C62006"/>
    <w:rsid w:val="00C72473"/>
    <w:rsid w:val="00C759F1"/>
    <w:rsid w:val="00C85223"/>
    <w:rsid w:val="00C87837"/>
    <w:rsid w:val="00CA0150"/>
    <w:rsid w:val="00CB1D9B"/>
    <w:rsid w:val="00CE49A2"/>
    <w:rsid w:val="00CF1372"/>
    <w:rsid w:val="00D21439"/>
    <w:rsid w:val="00D337B5"/>
    <w:rsid w:val="00D400C6"/>
    <w:rsid w:val="00D956E7"/>
    <w:rsid w:val="00DF2BF8"/>
    <w:rsid w:val="00DF4272"/>
    <w:rsid w:val="00E300CA"/>
    <w:rsid w:val="00E36F7B"/>
    <w:rsid w:val="00E51A7E"/>
    <w:rsid w:val="00E56E61"/>
    <w:rsid w:val="00EA3614"/>
    <w:rsid w:val="00EA5F88"/>
    <w:rsid w:val="00ED74B0"/>
    <w:rsid w:val="00F273D2"/>
    <w:rsid w:val="00F65E43"/>
    <w:rsid w:val="00F72D12"/>
    <w:rsid w:val="00F7632C"/>
    <w:rsid w:val="00F845A3"/>
    <w:rsid w:val="00FB5023"/>
    <w:rsid w:val="00FC02EF"/>
    <w:rsid w:val="00FD501B"/>
    <w:rsid w:val="00FE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fc7e7899-36b9-41b2-a178-8854929512d1"/>
    <ds:schemaRef ds:uri="http://schemas.openxmlformats.org/package/2006/metadata/core-properties"/>
    <ds:schemaRef ds:uri="8b37fd21-c0fa-4f34-8250-ff317bae3112"/>
    <ds:schemaRef ds:uri="http://purl.org/dc/terms/"/>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A5EF4E-03C5-41E2-A839-0EE1C2F1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0</TotalTime>
  <Pages>1</Pages>
  <Words>2</Words>
  <Characters>15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kazemkr</dc:creator>
  <cp:keywords/>
  <dc:description/>
  <cp:lastModifiedBy>Vlach, Allison</cp:lastModifiedBy>
  <cp:revision>2</cp:revision>
  <cp:lastPrinted>2024-01-05T21:31:00Z</cp:lastPrinted>
  <dcterms:created xsi:type="dcterms:W3CDTF">2025-03-03T19:40:00Z</dcterms:created>
  <dcterms:modified xsi:type="dcterms:W3CDTF">2025-03-03T19:40:00Z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