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4F01CD0C">
                <wp:simplePos x="0" y="0"/>
                <wp:positionH relativeFrom="column">
                  <wp:posOffset>-628650</wp:posOffset>
                </wp:positionH>
                <wp:positionV relativeFrom="paragraph">
                  <wp:posOffset>2257425</wp:posOffset>
                </wp:positionV>
                <wp:extent cx="55245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524500" cy="571500"/>
                        </a:xfrm>
                        <a:prstGeom prst="rect">
                          <a:avLst/>
                        </a:prstGeom>
                        <a:noFill/>
                        <a:ln w="6350">
                          <a:noFill/>
                        </a:ln>
                      </wps:spPr>
                      <wps:txbx>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9.5pt;margin-top:177.75pt;width:4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" filled="f" stroked="f" strokeweight=".5pt">
                <v:textbox inset="0,0,0,0">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6D4D85"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32F9C23C"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6D4D85">
                              <w:rPr>
                                <w:rFonts w:asciiTheme="minorHAnsi" w:hAnsiTheme="minorHAnsi" w:cstheme="minorHAnsi"/>
                                <w:b/>
                                <w:bCs/>
                                <w:color w:val="auto"/>
                              </w:rPr>
                              <w:t>August 27</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7C971CF"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6D4D85" w:rsidRPr="006D4D85">
                              <w:rPr>
                                <w:rFonts w:asciiTheme="minorHAnsi" w:hAnsiTheme="minorHAnsi" w:cstheme="minorHAnsi"/>
                                <w:b/>
                                <w:bCs/>
                                <w:color w:val="FF0000"/>
                                <w:sz w:val="22"/>
                                <w:szCs w:val="22"/>
                                <w:shd w:val="clear" w:color="auto" w:fill="FFFFFF"/>
                              </w:rPr>
                              <w:t>ZAFSAZ</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6D4D85"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32F9C23C"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6D4D85">
                        <w:rPr>
                          <w:rFonts w:asciiTheme="minorHAnsi" w:hAnsiTheme="minorHAnsi" w:cstheme="minorHAnsi"/>
                          <w:b/>
                          <w:bCs/>
                          <w:color w:val="auto"/>
                        </w:rPr>
                        <w:t>August 27</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7C971CF"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6D4D85" w:rsidRPr="006D4D85">
                        <w:rPr>
                          <w:rFonts w:asciiTheme="minorHAnsi" w:hAnsiTheme="minorHAnsi" w:cstheme="minorHAnsi"/>
                          <w:b/>
                          <w:bCs/>
                          <w:color w:val="FF0000"/>
                          <w:sz w:val="22"/>
                          <w:szCs w:val="22"/>
                          <w:shd w:val="clear" w:color="auto" w:fill="FFFFFF"/>
                        </w:rPr>
                        <w:t>ZAFSAZ</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582"/>
    <w:multiLevelType w:val="hybridMultilevel"/>
    <w:tmpl w:val="D56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5A09"/>
    <w:multiLevelType w:val="hybridMultilevel"/>
    <w:tmpl w:val="8DC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1"/>
  </w:num>
  <w:num w:numId="5" w16cid:durableId="1235512448">
    <w:abstractNumId w:val="2"/>
  </w:num>
  <w:num w:numId="6" w16cid:durableId="200364095">
    <w:abstractNumId w:val="8"/>
  </w:num>
  <w:num w:numId="7" w16cid:durableId="895967255">
    <w:abstractNumId w:val="9"/>
  </w:num>
  <w:num w:numId="8" w16cid:durableId="759377287">
    <w:abstractNumId w:val="12"/>
  </w:num>
  <w:num w:numId="9" w16cid:durableId="2070230206">
    <w:abstractNumId w:val="7"/>
  </w:num>
  <w:num w:numId="10" w16cid:durableId="1588419942">
    <w:abstractNumId w:val="4"/>
  </w:num>
  <w:num w:numId="11" w16cid:durableId="333338598">
    <w:abstractNumId w:val="15"/>
  </w:num>
  <w:num w:numId="12" w16cid:durableId="1362054144">
    <w:abstractNumId w:val="6"/>
  </w:num>
  <w:num w:numId="13" w16cid:durableId="1354576280">
    <w:abstractNumId w:val="14"/>
  </w:num>
  <w:num w:numId="14" w16cid:durableId="273244863">
    <w:abstractNumId w:val="0"/>
  </w:num>
  <w:num w:numId="15" w16cid:durableId="1695420946">
    <w:abstractNumId w:val="3"/>
  </w:num>
  <w:num w:numId="16" w16cid:durableId="11614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61B17"/>
    <w:rsid w:val="001752CA"/>
    <w:rsid w:val="00232EAF"/>
    <w:rsid w:val="003303C7"/>
    <w:rsid w:val="00336048"/>
    <w:rsid w:val="003B0FD3"/>
    <w:rsid w:val="003C23EA"/>
    <w:rsid w:val="00406328"/>
    <w:rsid w:val="004804CF"/>
    <w:rsid w:val="0057022A"/>
    <w:rsid w:val="005D01F2"/>
    <w:rsid w:val="006D4D85"/>
    <w:rsid w:val="00732751"/>
    <w:rsid w:val="007A69EB"/>
    <w:rsid w:val="00824559"/>
    <w:rsid w:val="008452FB"/>
    <w:rsid w:val="00945119"/>
    <w:rsid w:val="009B07AB"/>
    <w:rsid w:val="009B1BA4"/>
    <w:rsid w:val="00A11BBD"/>
    <w:rsid w:val="00A54F80"/>
    <w:rsid w:val="00A70167"/>
    <w:rsid w:val="00A80EB9"/>
    <w:rsid w:val="00AD3B16"/>
    <w:rsid w:val="00BB28AD"/>
    <w:rsid w:val="00BC06DC"/>
    <w:rsid w:val="00C04C19"/>
    <w:rsid w:val="00C76316"/>
    <w:rsid w:val="00CA0150"/>
    <w:rsid w:val="00D400C6"/>
    <w:rsid w:val="00E0760D"/>
    <w:rsid w:val="00E47958"/>
    <w:rsid w:val="00EA3614"/>
    <w:rsid w:val="00EB631E"/>
    <w:rsid w:val="00F12129"/>
    <w:rsid w:val="00F3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760D"/>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E0760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2024-04-18T16:13:00Z</dcterms:created>
  <dcterms:modified xsi:type="dcterms:W3CDTF">2024-08-23T14:39:00Z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