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0DACB8FA" w:rsidR="009B07AB" w:rsidRDefault="00622FA0" w:rsidP="003B0FD3">
      <w:r>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51EBF330">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6E30CA1" w14:textId="77777777" w:rsidR="00622FA0" w:rsidRPr="0050546C" w:rsidRDefault="00622FA0" w:rsidP="00622FA0">
                            <w:pPr>
                              <w:pStyle w:val="ListParagraph"/>
                              <w:numPr>
                                <w:ilvl w:val="0"/>
                                <w:numId w:val="5"/>
                              </w:numPr>
                              <w:spacing w:after="0" w:line="276" w:lineRule="auto"/>
                              <w:rPr>
                                <w:rFonts w:ascii="Calibri" w:hAnsi="Calibri" w:cs="Calibri"/>
                                <w:b/>
                                <w:bCs/>
                                <w:sz w:val="20"/>
                              </w:rPr>
                            </w:pPr>
                            <w:r w:rsidRPr="0050546C">
                              <w:rPr>
                                <w:rFonts w:ascii="Calibri" w:hAnsi="Calibri" w:cs="Calibri"/>
                                <w:b/>
                                <w:bCs/>
                                <w:sz w:val="20"/>
                              </w:rPr>
                              <w:t xml:space="preserve">Physicians and Allied Health </w:t>
                            </w:r>
                          </w:p>
                          <w:p w14:paraId="3F685308" w14:textId="77777777" w:rsidR="00622FA0" w:rsidRPr="0050546C" w:rsidRDefault="00622FA0" w:rsidP="00622FA0">
                            <w:pPr>
                              <w:pStyle w:val="ListParagraph"/>
                              <w:numPr>
                                <w:ilvl w:val="0"/>
                                <w:numId w:val="5"/>
                              </w:numPr>
                              <w:spacing w:after="0" w:line="276" w:lineRule="auto"/>
                              <w:rPr>
                                <w:rFonts w:ascii="Calibri" w:hAnsi="Calibri" w:cs="Calibri"/>
                                <w:b/>
                                <w:bCs/>
                                <w:sz w:val="28"/>
                              </w:rPr>
                            </w:pPr>
                            <w:r w:rsidRPr="0050546C">
                              <w:rPr>
                                <w:rFonts w:ascii="Calibri" w:hAnsi="Calibri" w:cs="Calibri"/>
                                <w:b/>
                                <w:bCs/>
                                <w:sz w:val="18"/>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E9D9B51"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diagnostic studies, prognostic indicators, and staging of patients with cancer.</w:t>
                            </w:r>
                          </w:p>
                          <w:p w14:paraId="5F5C5A6D" w14:textId="77777777" w:rsidR="00622FA0" w:rsidRPr="0050546C" w:rsidRDefault="00622FA0" w:rsidP="00622FA0">
                            <w:pPr>
                              <w:pStyle w:val="ListParagraph"/>
                              <w:tabs>
                                <w:tab w:val="left" w:pos="3554"/>
                              </w:tabs>
                              <w:spacing w:after="0" w:line="240" w:lineRule="auto"/>
                              <w:ind w:left="1080"/>
                              <w:rPr>
                                <w:rFonts w:ascii="Calibri" w:hAnsi="Calibri" w:cs="Calibri"/>
                                <w:b/>
                                <w:bCs/>
                                <w:color w:val="000000"/>
                                <w:sz w:val="18"/>
                              </w:rPr>
                            </w:pPr>
                          </w:p>
                          <w:p w14:paraId="7505E5EE"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evidence-based treatment options for the management of newly diagnosed or recurrent cancer patients.</w:t>
                            </w:r>
                          </w:p>
                          <w:p w14:paraId="7E52CF99" w14:textId="77777777" w:rsidR="00622FA0" w:rsidRPr="0050546C" w:rsidRDefault="00622FA0" w:rsidP="00622FA0">
                            <w:pPr>
                              <w:pStyle w:val="ListParagraph"/>
                              <w:rPr>
                                <w:rFonts w:ascii="Calibri" w:hAnsi="Calibri" w:cs="Calibri"/>
                                <w:b/>
                                <w:bCs/>
                                <w:color w:val="000000"/>
                                <w:sz w:val="18"/>
                              </w:rPr>
                            </w:pPr>
                          </w:p>
                          <w:p w14:paraId="49F30F67"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Review guidelines for follow-up care and surveillance of cancer patients.</w:t>
                            </w:r>
                          </w:p>
                          <w:p w14:paraId="27714D64" w14:textId="70320D04" w:rsidR="003058CC" w:rsidRPr="00BC14F9" w:rsidRDefault="003058CC" w:rsidP="003058CC">
                            <w:pPr>
                              <w:pStyle w:val="ListParagraph"/>
                              <w:spacing w:after="0" w:line="240" w:lineRule="auto"/>
                              <w:rPr>
                                <w:rFonts w:ascii="Calibri" w:hAnsi="Calibri" w:cs="Calibri"/>
                                <w:b/>
                                <w:bCs/>
                                <w:sz w:val="20"/>
                                <w:szCs w:val="20"/>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6E30CA1" w14:textId="77777777" w:rsidR="00622FA0" w:rsidRPr="0050546C" w:rsidRDefault="00622FA0" w:rsidP="00622FA0">
                      <w:pPr>
                        <w:pStyle w:val="ListParagraph"/>
                        <w:numPr>
                          <w:ilvl w:val="0"/>
                          <w:numId w:val="5"/>
                        </w:numPr>
                        <w:spacing w:after="0" w:line="276" w:lineRule="auto"/>
                        <w:rPr>
                          <w:rFonts w:ascii="Calibri" w:hAnsi="Calibri" w:cs="Calibri"/>
                          <w:b/>
                          <w:bCs/>
                          <w:sz w:val="20"/>
                        </w:rPr>
                      </w:pPr>
                      <w:r w:rsidRPr="0050546C">
                        <w:rPr>
                          <w:rFonts w:ascii="Calibri" w:hAnsi="Calibri" w:cs="Calibri"/>
                          <w:b/>
                          <w:bCs/>
                          <w:sz w:val="20"/>
                        </w:rPr>
                        <w:t xml:space="preserve">Physicians and Allied Health </w:t>
                      </w:r>
                    </w:p>
                    <w:p w14:paraId="3F685308" w14:textId="77777777" w:rsidR="00622FA0" w:rsidRPr="0050546C" w:rsidRDefault="00622FA0" w:rsidP="00622FA0">
                      <w:pPr>
                        <w:pStyle w:val="ListParagraph"/>
                        <w:numPr>
                          <w:ilvl w:val="0"/>
                          <w:numId w:val="5"/>
                        </w:numPr>
                        <w:spacing w:after="0" w:line="276" w:lineRule="auto"/>
                        <w:rPr>
                          <w:rFonts w:ascii="Calibri" w:hAnsi="Calibri" w:cs="Calibri"/>
                          <w:b/>
                          <w:bCs/>
                          <w:sz w:val="28"/>
                        </w:rPr>
                      </w:pPr>
                      <w:r w:rsidRPr="0050546C">
                        <w:rPr>
                          <w:rFonts w:ascii="Calibri" w:hAnsi="Calibri" w:cs="Calibri"/>
                          <w:b/>
                          <w:bCs/>
                          <w:sz w:val="18"/>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E9D9B51"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diagnostic studies, prognostic indicators, and staging of patients with cancer.</w:t>
                      </w:r>
                    </w:p>
                    <w:p w14:paraId="5F5C5A6D" w14:textId="77777777" w:rsidR="00622FA0" w:rsidRPr="0050546C" w:rsidRDefault="00622FA0" w:rsidP="00622FA0">
                      <w:pPr>
                        <w:pStyle w:val="ListParagraph"/>
                        <w:tabs>
                          <w:tab w:val="left" w:pos="3554"/>
                        </w:tabs>
                        <w:spacing w:after="0" w:line="240" w:lineRule="auto"/>
                        <w:ind w:left="1080"/>
                        <w:rPr>
                          <w:rFonts w:ascii="Calibri" w:hAnsi="Calibri" w:cs="Calibri"/>
                          <w:b/>
                          <w:bCs/>
                          <w:color w:val="000000"/>
                          <w:sz w:val="18"/>
                        </w:rPr>
                      </w:pPr>
                    </w:p>
                    <w:p w14:paraId="7505E5EE"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evidence-based treatment options for the management of newly diagnosed or recurrent cancer patients.</w:t>
                      </w:r>
                    </w:p>
                    <w:p w14:paraId="7E52CF99" w14:textId="77777777" w:rsidR="00622FA0" w:rsidRPr="0050546C" w:rsidRDefault="00622FA0" w:rsidP="00622FA0">
                      <w:pPr>
                        <w:pStyle w:val="ListParagraph"/>
                        <w:rPr>
                          <w:rFonts w:ascii="Calibri" w:hAnsi="Calibri" w:cs="Calibri"/>
                          <w:b/>
                          <w:bCs/>
                          <w:color w:val="000000"/>
                          <w:sz w:val="18"/>
                        </w:rPr>
                      </w:pPr>
                    </w:p>
                    <w:p w14:paraId="49F30F67"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Review guidelines for follow-up care and surveillance of cancer patients.</w:t>
                      </w:r>
                    </w:p>
                    <w:p w14:paraId="27714D64" w14:textId="70320D04" w:rsidR="003058CC" w:rsidRPr="00BC14F9" w:rsidRDefault="003058CC" w:rsidP="003058CC">
                      <w:pPr>
                        <w:pStyle w:val="ListParagraph"/>
                        <w:spacing w:after="0" w:line="240" w:lineRule="auto"/>
                        <w:rPr>
                          <w:rFonts w:ascii="Calibri" w:hAnsi="Calibri" w:cs="Calibri"/>
                          <w:b/>
                          <w:bCs/>
                          <w:sz w:val="20"/>
                          <w:szCs w:val="20"/>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406328" w:rsidRDefault="00563F52"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1114127" w:rsidR="001752CA" w:rsidRPr="00BC06DC" w:rsidRDefault="00622FA0"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Tuesday</w:t>
                            </w:r>
                            <w:r w:rsidR="005D01F2" w:rsidRPr="00BC06DC">
                              <w:rPr>
                                <w:rFonts w:asciiTheme="minorHAnsi" w:hAnsiTheme="minorHAnsi" w:cstheme="minorHAnsi"/>
                                <w:b/>
                                <w:bCs/>
                                <w:color w:val="auto"/>
                              </w:rPr>
                              <w:t xml:space="preserve"> </w:t>
                            </w:r>
                            <w:r w:rsidR="0055792E">
                              <w:rPr>
                                <w:rFonts w:asciiTheme="minorHAnsi" w:hAnsiTheme="minorHAnsi" w:cstheme="minorHAnsi"/>
                                <w:b/>
                                <w:bCs/>
                                <w:color w:val="auto"/>
                              </w:rPr>
                              <w:t xml:space="preserve">August </w:t>
                            </w:r>
                            <w:r w:rsidR="00563F52">
                              <w:rPr>
                                <w:rFonts w:asciiTheme="minorHAnsi" w:hAnsiTheme="minorHAnsi" w:cstheme="minorHAnsi"/>
                                <w:b/>
                                <w:bCs/>
                                <w:color w:val="auto"/>
                              </w:rPr>
                              <w:t>13</w:t>
                            </w:r>
                            <w:r w:rsidR="003E0FDC">
                              <w:rPr>
                                <w:rFonts w:asciiTheme="minorHAnsi" w:hAnsiTheme="minorHAnsi" w:cstheme="minorHAnsi"/>
                                <w:b/>
                                <w:bCs/>
                                <w:color w:val="auto"/>
                              </w:rPr>
                              <w:t>,</w:t>
                            </w:r>
                            <w:r w:rsidR="005D01F2" w:rsidRPr="00BC06DC">
                              <w:rPr>
                                <w:rFonts w:asciiTheme="minorHAnsi" w:hAnsiTheme="minorHAnsi" w:cstheme="minorHAnsi"/>
                                <w:b/>
                                <w:bCs/>
                                <w:color w:val="auto"/>
                              </w:rPr>
                              <w:t xml:space="preserve"> 2024</w:t>
                            </w:r>
                          </w:p>
                          <w:p w14:paraId="0E27EDFD" w14:textId="5716347A"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622FA0">
                              <w:rPr>
                                <w:rFonts w:asciiTheme="minorHAnsi" w:hAnsiTheme="minorHAnsi" w:cstheme="minorHAnsi"/>
                                <w:b/>
                                <w:bCs/>
                                <w:color w:val="auto"/>
                              </w:rPr>
                              <w:t>0</w:t>
                            </w:r>
                            <w:r w:rsidRPr="00BC06DC">
                              <w:rPr>
                                <w:rFonts w:asciiTheme="minorHAnsi" w:hAnsiTheme="minorHAnsi" w:cstheme="minorHAnsi"/>
                                <w:b/>
                                <w:bCs/>
                                <w:color w:val="auto"/>
                              </w:rPr>
                              <w:t>0-8:</w:t>
                            </w:r>
                            <w:r w:rsidR="00622FA0">
                              <w:rPr>
                                <w:rFonts w:asciiTheme="minorHAnsi" w:hAnsiTheme="minorHAnsi" w:cstheme="minorHAnsi"/>
                                <w:b/>
                                <w:bCs/>
                                <w:color w:val="auto"/>
                              </w:rPr>
                              <w:t>00</w:t>
                            </w:r>
                            <w:r w:rsidRPr="00BC06DC">
                              <w:rPr>
                                <w:rFonts w:asciiTheme="minorHAnsi" w:hAnsiTheme="minorHAnsi" w:cstheme="minorHAnsi"/>
                                <w:b/>
                                <w:bCs/>
                                <w:color w:val="auto"/>
                              </w:rPr>
                              <w:t>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22B5DFBE"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8E6B16" w:rsidRPr="005B0693">
                              <w:rPr>
                                <w:rFonts w:asciiTheme="minorHAnsi" w:hAnsiTheme="minorHAnsi" w:cstheme="minorHAnsi"/>
                                <w:b/>
                                <w:bCs/>
                                <w:color w:val="FF0000"/>
                                <w:sz w:val="18"/>
                                <w:szCs w:val="18"/>
                              </w:rPr>
                              <w:t xml:space="preserve"> </w:t>
                            </w:r>
                            <w:r w:rsidR="00563F52" w:rsidRPr="00563F52">
                              <w:rPr>
                                <w:rFonts w:asciiTheme="minorHAnsi" w:hAnsiTheme="minorHAnsi" w:cstheme="minorHAnsi"/>
                                <w:b/>
                                <w:bCs/>
                                <w:color w:val="FF0000"/>
                                <w:sz w:val="22"/>
                                <w:szCs w:val="22"/>
                                <w:shd w:val="clear" w:color="auto" w:fill="FFFFFF"/>
                              </w:rPr>
                              <w:t>RUGBAH</w:t>
                            </w:r>
                          </w:p>
                          <w:p w14:paraId="2CE1CA05" w14:textId="2D281145" w:rsidR="001752CA" w:rsidRPr="00BC06DC" w:rsidRDefault="003E0FDC" w:rsidP="00406328">
                            <w:pPr>
                              <w:pStyle w:val="EventDetailsSubheads"/>
                              <w:spacing w:before="0" w:line="240"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406328" w:rsidRDefault="00563F52"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1114127" w:rsidR="001752CA" w:rsidRPr="00BC06DC" w:rsidRDefault="00622FA0"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Tuesday</w:t>
                      </w:r>
                      <w:r w:rsidR="005D01F2" w:rsidRPr="00BC06DC">
                        <w:rPr>
                          <w:rFonts w:asciiTheme="minorHAnsi" w:hAnsiTheme="minorHAnsi" w:cstheme="minorHAnsi"/>
                          <w:b/>
                          <w:bCs/>
                          <w:color w:val="auto"/>
                        </w:rPr>
                        <w:t xml:space="preserve"> </w:t>
                      </w:r>
                      <w:r w:rsidR="0055792E">
                        <w:rPr>
                          <w:rFonts w:asciiTheme="minorHAnsi" w:hAnsiTheme="minorHAnsi" w:cstheme="minorHAnsi"/>
                          <w:b/>
                          <w:bCs/>
                          <w:color w:val="auto"/>
                        </w:rPr>
                        <w:t xml:space="preserve">August </w:t>
                      </w:r>
                      <w:r w:rsidR="00563F52">
                        <w:rPr>
                          <w:rFonts w:asciiTheme="minorHAnsi" w:hAnsiTheme="minorHAnsi" w:cstheme="minorHAnsi"/>
                          <w:b/>
                          <w:bCs/>
                          <w:color w:val="auto"/>
                        </w:rPr>
                        <w:t>13</w:t>
                      </w:r>
                      <w:r w:rsidR="003E0FDC">
                        <w:rPr>
                          <w:rFonts w:asciiTheme="minorHAnsi" w:hAnsiTheme="minorHAnsi" w:cstheme="minorHAnsi"/>
                          <w:b/>
                          <w:bCs/>
                          <w:color w:val="auto"/>
                        </w:rPr>
                        <w:t>,</w:t>
                      </w:r>
                      <w:r w:rsidR="005D01F2" w:rsidRPr="00BC06DC">
                        <w:rPr>
                          <w:rFonts w:asciiTheme="minorHAnsi" w:hAnsiTheme="minorHAnsi" w:cstheme="minorHAnsi"/>
                          <w:b/>
                          <w:bCs/>
                          <w:color w:val="auto"/>
                        </w:rPr>
                        <w:t xml:space="preserve"> 2024</w:t>
                      </w:r>
                    </w:p>
                    <w:p w14:paraId="0E27EDFD" w14:textId="5716347A"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622FA0">
                        <w:rPr>
                          <w:rFonts w:asciiTheme="minorHAnsi" w:hAnsiTheme="minorHAnsi" w:cstheme="minorHAnsi"/>
                          <w:b/>
                          <w:bCs/>
                          <w:color w:val="auto"/>
                        </w:rPr>
                        <w:t>0</w:t>
                      </w:r>
                      <w:r w:rsidRPr="00BC06DC">
                        <w:rPr>
                          <w:rFonts w:asciiTheme="minorHAnsi" w:hAnsiTheme="minorHAnsi" w:cstheme="minorHAnsi"/>
                          <w:b/>
                          <w:bCs/>
                          <w:color w:val="auto"/>
                        </w:rPr>
                        <w:t>0-8:</w:t>
                      </w:r>
                      <w:r w:rsidR="00622FA0">
                        <w:rPr>
                          <w:rFonts w:asciiTheme="minorHAnsi" w:hAnsiTheme="minorHAnsi" w:cstheme="minorHAnsi"/>
                          <w:b/>
                          <w:bCs/>
                          <w:color w:val="auto"/>
                        </w:rPr>
                        <w:t>00</w:t>
                      </w:r>
                      <w:r w:rsidRPr="00BC06DC">
                        <w:rPr>
                          <w:rFonts w:asciiTheme="minorHAnsi" w:hAnsiTheme="minorHAnsi" w:cstheme="minorHAnsi"/>
                          <w:b/>
                          <w:bCs/>
                          <w:color w:val="auto"/>
                        </w:rPr>
                        <w:t>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22B5DFBE"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8E6B16" w:rsidRPr="005B0693">
                        <w:rPr>
                          <w:rFonts w:asciiTheme="minorHAnsi" w:hAnsiTheme="minorHAnsi" w:cstheme="minorHAnsi"/>
                          <w:b/>
                          <w:bCs/>
                          <w:color w:val="FF0000"/>
                          <w:sz w:val="18"/>
                          <w:szCs w:val="18"/>
                        </w:rPr>
                        <w:t xml:space="preserve"> </w:t>
                      </w:r>
                      <w:r w:rsidR="00563F52" w:rsidRPr="00563F52">
                        <w:rPr>
                          <w:rFonts w:asciiTheme="minorHAnsi" w:hAnsiTheme="minorHAnsi" w:cstheme="minorHAnsi"/>
                          <w:b/>
                          <w:bCs/>
                          <w:color w:val="FF0000"/>
                          <w:sz w:val="22"/>
                          <w:szCs w:val="22"/>
                          <w:shd w:val="clear" w:color="auto" w:fill="FFFFFF"/>
                        </w:rPr>
                        <w:t>RUGBAH</w:t>
                      </w:r>
                    </w:p>
                    <w:p w14:paraId="2CE1CA05" w14:textId="2D281145" w:rsidR="001752CA" w:rsidRPr="00BC06DC" w:rsidRDefault="003E0FDC" w:rsidP="00406328">
                      <w:pPr>
                        <w:pStyle w:val="EventDetailsSubheads"/>
                        <w:spacing w:before="0" w:line="240"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6816"/>
    <w:rsid w:val="000934A6"/>
    <w:rsid w:val="000E7813"/>
    <w:rsid w:val="001752CA"/>
    <w:rsid w:val="001A4A77"/>
    <w:rsid w:val="00225378"/>
    <w:rsid w:val="00232EAF"/>
    <w:rsid w:val="002D408C"/>
    <w:rsid w:val="003058CC"/>
    <w:rsid w:val="003303C7"/>
    <w:rsid w:val="00336048"/>
    <w:rsid w:val="00392A40"/>
    <w:rsid w:val="003B0FD3"/>
    <w:rsid w:val="003C23EA"/>
    <w:rsid w:val="003E0FDC"/>
    <w:rsid w:val="00406328"/>
    <w:rsid w:val="00470A03"/>
    <w:rsid w:val="004804CF"/>
    <w:rsid w:val="0050463A"/>
    <w:rsid w:val="00515262"/>
    <w:rsid w:val="0055792E"/>
    <w:rsid w:val="00563F52"/>
    <w:rsid w:val="0057022A"/>
    <w:rsid w:val="005B0693"/>
    <w:rsid w:val="005B13AE"/>
    <w:rsid w:val="005D01F2"/>
    <w:rsid w:val="00622FA0"/>
    <w:rsid w:val="00732751"/>
    <w:rsid w:val="00773017"/>
    <w:rsid w:val="007A69EB"/>
    <w:rsid w:val="00804432"/>
    <w:rsid w:val="00824559"/>
    <w:rsid w:val="008452FB"/>
    <w:rsid w:val="00886165"/>
    <w:rsid w:val="008E6B16"/>
    <w:rsid w:val="0090279A"/>
    <w:rsid w:val="00945119"/>
    <w:rsid w:val="009B07AB"/>
    <w:rsid w:val="009B1BA4"/>
    <w:rsid w:val="009E6CC9"/>
    <w:rsid w:val="00A11BBD"/>
    <w:rsid w:val="00A54F80"/>
    <w:rsid w:val="00A70167"/>
    <w:rsid w:val="00A80EB9"/>
    <w:rsid w:val="00BB28AD"/>
    <w:rsid w:val="00BB5647"/>
    <w:rsid w:val="00BC06DC"/>
    <w:rsid w:val="00CA0150"/>
    <w:rsid w:val="00D400C6"/>
    <w:rsid w:val="00D43010"/>
    <w:rsid w:val="00EA3614"/>
    <w:rsid w:val="00EA6282"/>
    <w:rsid w:val="00ED293E"/>
    <w:rsid w:val="00F8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2024-04-04T15:24:00Z</dcterms:created>
  <dcterms:modified xsi:type="dcterms:W3CDTF">2024-08-09T11:46:00Z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