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Michelle</w:t>
                            </w:r>
                            <w:r w:rsidRPr="00D315EA">
                              <w:rPr>
                                <w:rFonts w:cstheme="minorHAnsi"/>
                                <w:b/>
                                <w:bCs/>
                                <w:color w:val="FFFFFF" w:themeColor="background1"/>
                                <w:sz w:val="36"/>
                                <w:szCs w:val="36"/>
                              </w:rPr>
                              <w:t xml:space="preserve"> </w:t>
                            </w:r>
                            <w:r w:rsidRPr="00D315EA">
                              <w:rPr>
                                <w:rFonts w:cstheme="minorHAnsi"/>
                                <w:b/>
                                <w:bCs/>
                                <w:color w:val="FFFFFF" w:themeColor="background1"/>
                                <w:sz w:val="36"/>
                                <w:szCs w:val="36"/>
                              </w:rPr>
                              <w:t>Abghari,</w:t>
                            </w:r>
                            <w:r w:rsidRPr="00D315EA">
                              <w:rPr>
                                <w:rFonts w:cstheme="minorHAnsi"/>
                                <w:b/>
                                <w:bCs/>
                                <w:color w:val="FFFFFF" w:themeColor="background1"/>
                                <w:sz w:val="36"/>
                                <w:szCs w:val="36"/>
                              </w:rPr>
                              <w:t xml:space="preserve">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Michelle</w:t>
                      </w:r>
                      <w:r w:rsidRPr="00D315EA">
                        <w:rPr>
                          <w:rFonts w:cstheme="minorHAnsi"/>
                          <w:b/>
                          <w:bCs/>
                          <w:color w:val="FFFFFF" w:themeColor="background1"/>
                          <w:sz w:val="36"/>
                          <w:szCs w:val="36"/>
                        </w:rPr>
                        <w:t xml:space="preserve"> </w:t>
                      </w:r>
                      <w:r w:rsidRPr="00D315EA">
                        <w:rPr>
                          <w:rFonts w:cstheme="minorHAnsi"/>
                          <w:b/>
                          <w:bCs/>
                          <w:color w:val="FFFFFF" w:themeColor="background1"/>
                          <w:sz w:val="36"/>
                          <w:szCs w:val="36"/>
                        </w:rPr>
                        <w:t>Abghari,</w:t>
                      </w:r>
                      <w:r w:rsidRPr="00D315EA">
                        <w:rPr>
                          <w:rFonts w:cstheme="minorHAnsi"/>
                          <w:b/>
                          <w:bCs/>
                          <w:color w:val="FFFFFF" w:themeColor="background1"/>
                          <w:sz w:val="36"/>
                          <w:szCs w:val="36"/>
                        </w:rPr>
                        <w:t xml:space="preserve">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3619EF" w:rsidRDefault="00D315EA" w:rsidP="005D01F2">
                            <w:pPr>
                              <w:spacing w:line="360" w:lineRule="auto"/>
                              <w:jc w:val="center"/>
                              <w:rPr>
                                <w:rFonts w:cstheme="minorHAnsi"/>
                                <w:b/>
                                <w:bCs/>
                                <w:sz w:val="28"/>
                                <w:szCs w:val="28"/>
                              </w:rPr>
                            </w:pPr>
                            <w:hyperlink r:id="rId9"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2C6EEFC0"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D315EA">
                              <w:rPr>
                                <w:rFonts w:asciiTheme="minorHAnsi" w:hAnsiTheme="minorHAnsi" w:cstheme="minorHAnsi"/>
                                <w:b/>
                                <w:bCs/>
                                <w:color w:val="auto"/>
                              </w:rPr>
                              <w:t>August 5</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65B59F94" w14:textId="587C531A" w:rsidR="008021B3"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1E1073">
                              <w:rPr>
                                <w:rFonts w:asciiTheme="minorHAnsi" w:hAnsiTheme="minorHAnsi" w:cstheme="minorHAnsi"/>
                                <w:b/>
                                <w:bCs/>
                                <w:color w:val="FF0000"/>
                                <w:sz w:val="20"/>
                                <w:szCs w:val="20"/>
                              </w:rPr>
                              <w:t xml:space="preserve"> </w:t>
                            </w:r>
                            <w:r w:rsidR="00D315EA" w:rsidRPr="00D315EA">
                              <w:rPr>
                                <w:rFonts w:asciiTheme="minorHAnsi" w:hAnsiTheme="minorHAnsi" w:cstheme="minorHAnsi"/>
                                <w:b/>
                                <w:bCs/>
                                <w:color w:val="FF0000"/>
                                <w:sz w:val="22"/>
                                <w:szCs w:val="22"/>
                                <w:shd w:val="clear" w:color="auto" w:fill="FFFFFF"/>
                              </w:rPr>
                              <w:t>SEMRUP</w:t>
                            </w: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3619EF" w:rsidRDefault="00D315EA" w:rsidP="005D01F2">
                      <w:pPr>
                        <w:spacing w:line="360" w:lineRule="auto"/>
                        <w:jc w:val="center"/>
                        <w:rPr>
                          <w:rFonts w:cstheme="minorHAnsi"/>
                          <w:b/>
                          <w:bCs/>
                          <w:sz w:val="28"/>
                          <w:szCs w:val="28"/>
                        </w:rPr>
                      </w:pPr>
                      <w:hyperlink r:id="rId10"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2C6EEFC0"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D315EA">
                        <w:rPr>
                          <w:rFonts w:asciiTheme="minorHAnsi" w:hAnsiTheme="minorHAnsi" w:cstheme="minorHAnsi"/>
                          <w:b/>
                          <w:bCs/>
                          <w:color w:val="auto"/>
                        </w:rPr>
                        <w:t>August 5</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65B59F94" w14:textId="587C531A" w:rsidR="008021B3"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1E1073">
                        <w:rPr>
                          <w:rFonts w:asciiTheme="minorHAnsi" w:hAnsiTheme="minorHAnsi" w:cstheme="minorHAnsi"/>
                          <w:b/>
                          <w:bCs/>
                          <w:color w:val="FF0000"/>
                          <w:sz w:val="20"/>
                          <w:szCs w:val="20"/>
                        </w:rPr>
                        <w:t xml:space="preserve"> </w:t>
                      </w:r>
                      <w:r w:rsidR="00D315EA" w:rsidRPr="00D315EA">
                        <w:rPr>
                          <w:rFonts w:asciiTheme="minorHAnsi" w:hAnsiTheme="minorHAnsi" w:cstheme="minorHAnsi"/>
                          <w:b/>
                          <w:bCs/>
                          <w:color w:val="FF0000"/>
                          <w:sz w:val="22"/>
                          <w:szCs w:val="22"/>
                          <w:shd w:val="clear" w:color="auto" w:fill="FFFFFF"/>
                        </w:rPr>
                        <w:t>SEMRUP</w:t>
                      </w: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E1073"/>
    <w:rsid w:val="0020671B"/>
    <w:rsid w:val="00232EAF"/>
    <w:rsid w:val="003303C7"/>
    <w:rsid w:val="00336048"/>
    <w:rsid w:val="003619EF"/>
    <w:rsid w:val="003B0FD3"/>
    <w:rsid w:val="003C23EA"/>
    <w:rsid w:val="004804CF"/>
    <w:rsid w:val="00563C17"/>
    <w:rsid w:val="0057022A"/>
    <w:rsid w:val="005D01F2"/>
    <w:rsid w:val="00662CC8"/>
    <w:rsid w:val="006F0948"/>
    <w:rsid w:val="006F17D6"/>
    <w:rsid w:val="00732751"/>
    <w:rsid w:val="007A69EB"/>
    <w:rsid w:val="008021B3"/>
    <w:rsid w:val="00824559"/>
    <w:rsid w:val="008452FB"/>
    <w:rsid w:val="00934763"/>
    <w:rsid w:val="00945119"/>
    <w:rsid w:val="00980A60"/>
    <w:rsid w:val="009B07AB"/>
    <w:rsid w:val="009B1BA4"/>
    <w:rsid w:val="009D2910"/>
    <w:rsid w:val="00A11BBD"/>
    <w:rsid w:val="00A54F80"/>
    <w:rsid w:val="00A70167"/>
    <w:rsid w:val="00A75DF1"/>
    <w:rsid w:val="00A80EB9"/>
    <w:rsid w:val="00BB28AD"/>
    <w:rsid w:val="00BC06DC"/>
    <w:rsid w:val="00C8144B"/>
    <w:rsid w:val="00CA0150"/>
    <w:rsid w:val="00CB187E"/>
    <w:rsid w:val="00D315EA"/>
    <w:rsid w:val="00D400C6"/>
    <w:rsid w:val="00D64D59"/>
    <w:rsid w:val="00DB6082"/>
    <w:rsid w:val="00EA3614"/>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2024-04-03T15:09:00Z</dcterms:created>
  <dcterms:modified xsi:type="dcterms:W3CDTF">2024-08-01T16:09:00Z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