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B32B44C" w:rsidR="009B07AB" w:rsidRDefault="000A631C" w:rsidP="003B0FD3">
      <w:r>
        <w:rPr>
          <w:noProof/>
        </w:rPr>
        <mc:AlternateContent>
          <mc:Choice Requires="wps">
            <w:drawing>
              <wp:anchor distT="0" distB="0" distL="114300" distR="114300" simplePos="0" relativeHeight="251668480" behindDoc="0" locked="0" layoutInCell="1" allowOverlap="1" wp14:anchorId="593FE276" wp14:editId="4D67435C">
                <wp:simplePos x="0" y="0"/>
                <wp:positionH relativeFrom="column">
                  <wp:posOffset>1885950</wp:posOffset>
                </wp:positionH>
                <wp:positionV relativeFrom="paragraph">
                  <wp:posOffset>3267075</wp:posOffset>
                </wp:positionV>
                <wp:extent cx="4705350" cy="3219450"/>
                <wp:effectExtent l="0" t="0" r="0" b="0"/>
                <wp:wrapNone/>
                <wp:docPr id="292154781" name="Text Box 2"/>
                <wp:cNvGraphicFramePr/>
                <a:graphic xmlns:a="http://schemas.openxmlformats.org/drawingml/2006/main">
                  <a:graphicData uri="http://schemas.microsoft.com/office/word/2010/wordprocessingShape">
                    <wps:wsp>
                      <wps:cNvSpPr txBox="1"/>
                      <wps:spPr>
                        <a:xfrm>
                          <a:off x="0" y="0"/>
                          <a:ext cx="4705350" cy="3219450"/>
                        </a:xfrm>
                        <a:prstGeom prst="rect">
                          <a:avLst/>
                        </a:prstGeom>
                        <a:noFill/>
                        <a:ln w="6350">
                          <a:noFill/>
                        </a:ln>
                      </wps:spPr>
                      <wps:txbx>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48.5pt;margin-top:257.25pt;width:370.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" filled="f" stroked="f" strokeweight=".5pt">
                <v:textbox inset="0,0,0,0">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05F74408">
                <wp:simplePos x="0" y="0"/>
                <wp:positionH relativeFrom="column">
                  <wp:posOffset>-657225</wp:posOffset>
                </wp:positionH>
                <wp:positionV relativeFrom="paragraph">
                  <wp:posOffset>485775</wp:posOffset>
                </wp:positionV>
                <wp:extent cx="52006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200650" cy="314325"/>
                        </a:xfrm>
                        <a:prstGeom prst="rect">
                          <a:avLst/>
                        </a:prstGeom>
                        <a:noFill/>
                        <a:ln w="6350">
                          <a:noFill/>
                        </a:ln>
                      </wps:spPr>
                      <wps:txbx>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1.75pt;margin-top:38.25pt;width:40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" filled="f" stroked="f" strokeweight=".5pt">
                <v:textbox inset="0,0,0,0">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76684E9F">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3314A0"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0153E68"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3314A0">
                              <w:rPr>
                                <w:rFonts w:asciiTheme="minorHAnsi" w:hAnsiTheme="minorHAnsi" w:cstheme="minorHAnsi"/>
                                <w:b/>
                                <w:bCs/>
                                <w:color w:val="auto"/>
                              </w:rPr>
                              <w:t>June 19</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9A99585"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3314A0" w:rsidRPr="003314A0">
                              <w:rPr>
                                <w:rFonts w:asciiTheme="minorHAnsi" w:hAnsiTheme="minorHAnsi" w:cstheme="minorHAnsi"/>
                                <w:b/>
                                <w:bCs/>
                                <w:color w:val="FF0000"/>
                                <w:sz w:val="22"/>
                                <w:szCs w:val="22"/>
                                <w:shd w:val="clear" w:color="auto" w:fill="FFFFFF"/>
                              </w:rPr>
                              <w:t>GOPNOP</w:t>
                            </w:r>
                          </w:p>
                          <w:p w14:paraId="2CE1CA05" w14:textId="0509FDA2" w:rsidR="001752CA" w:rsidRPr="00BC06DC" w:rsidRDefault="000A631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3314A0"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0153E68"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3314A0">
                        <w:rPr>
                          <w:rFonts w:asciiTheme="minorHAnsi" w:hAnsiTheme="minorHAnsi" w:cstheme="minorHAnsi"/>
                          <w:b/>
                          <w:bCs/>
                          <w:color w:val="auto"/>
                        </w:rPr>
                        <w:t>June 19</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9A99585"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3314A0" w:rsidRPr="003314A0">
                        <w:rPr>
                          <w:rFonts w:asciiTheme="minorHAnsi" w:hAnsiTheme="minorHAnsi" w:cstheme="minorHAnsi"/>
                          <w:b/>
                          <w:bCs/>
                          <w:color w:val="FF0000"/>
                          <w:sz w:val="22"/>
                          <w:szCs w:val="22"/>
                          <w:shd w:val="clear" w:color="auto" w:fill="FFFFFF"/>
                        </w:rPr>
                        <w:t>GOPNOP</w:t>
                      </w:r>
                    </w:p>
                    <w:p w14:paraId="2CE1CA05" w14:textId="0509FDA2" w:rsidR="001752CA" w:rsidRPr="00BC06DC" w:rsidRDefault="000A631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5300C"/>
    <w:multiLevelType w:val="hybridMultilevel"/>
    <w:tmpl w:val="823A6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110D2"/>
    <w:multiLevelType w:val="hybridMultilevel"/>
    <w:tmpl w:val="111E05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3"/>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4"/>
  </w:num>
  <w:num w:numId="9" w16cid:durableId="2070230206">
    <w:abstractNumId w:val="5"/>
  </w:num>
  <w:num w:numId="10" w16cid:durableId="1588419942">
    <w:abstractNumId w:val="3"/>
  </w:num>
  <w:num w:numId="11" w16cid:durableId="333338598">
    <w:abstractNumId w:val="18"/>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2028173820">
    <w:abstractNumId w:val="1"/>
  </w:num>
  <w:num w:numId="17" w16cid:durableId="1598899565">
    <w:abstractNumId w:val="12"/>
  </w:num>
  <w:num w:numId="18" w16cid:durableId="217471940">
    <w:abstractNumId w:val="17"/>
  </w:num>
  <w:num w:numId="19" w16cid:durableId="1619681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A631C"/>
    <w:rsid w:val="000E7813"/>
    <w:rsid w:val="001752CA"/>
    <w:rsid w:val="00232EAF"/>
    <w:rsid w:val="003058CC"/>
    <w:rsid w:val="003303C7"/>
    <w:rsid w:val="003314A0"/>
    <w:rsid w:val="00336048"/>
    <w:rsid w:val="0038721A"/>
    <w:rsid w:val="003B0FD3"/>
    <w:rsid w:val="003C23EA"/>
    <w:rsid w:val="00406328"/>
    <w:rsid w:val="004804CF"/>
    <w:rsid w:val="0057022A"/>
    <w:rsid w:val="005D01F2"/>
    <w:rsid w:val="00732751"/>
    <w:rsid w:val="007A69EB"/>
    <w:rsid w:val="00824559"/>
    <w:rsid w:val="008452FB"/>
    <w:rsid w:val="00945119"/>
    <w:rsid w:val="009B07AB"/>
    <w:rsid w:val="009B1BA4"/>
    <w:rsid w:val="00A11BBD"/>
    <w:rsid w:val="00A54F80"/>
    <w:rsid w:val="00A70167"/>
    <w:rsid w:val="00A80EB9"/>
    <w:rsid w:val="00B0109E"/>
    <w:rsid w:val="00BB28AD"/>
    <w:rsid w:val="00BC06DC"/>
    <w:rsid w:val="00CA0150"/>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631C"/>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semiHidden/>
    <w:rsid w:val="000A631C"/>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2024-04-09T18:04:00Z</dcterms:created>
  <dcterms:modified xsi:type="dcterms:W3CDTF">2024-06-11T18:45:00Z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