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E800" w14:textId="77777777" w:rsidR="009D211A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9A16CB" w:rsidRPr="009A16CB">
        <w:rPr>
          <w:rFonts w:ascii="Century Gothic" w:hAnsi="Century Gothic"/>
          <w:sz w:val="30"/>
          <w:szCs w:val="30"/>
        </w:rPr>
        <w:t>Children's National Pediatric Emergency Medicine Conference</w:t>
      </w:r>
    </w:p>
    <w:p w14:paraId="4B7F9480" w14:textId="4BE85B50" w:rsidR="009272F9" w:rsidRPr="009D211A" w:rsidRDefault="00746000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38073E52">
                <wp:simplePos x="0" y="0"/>
                <wp:positionH relativeFrom="column">
                  <wp:posOffset>-99060</wp:posOffset>
                </wp:positionH>
                <wp:positionV relativeFrom="paragraph">
                  <wp:posOffset>878840</wp:posOffset>
                </wp:positionV>
                <wp:extent cx="6920865" cy="123825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1F4231E2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09181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 &amp; M and Fellowship Program Evaluation</w:t>
                            </w:r>
                          </w:p>
                          <w:p w14:paraId="2974ED00" w14:textId="6B9AF6C9" w:rsidR="00DA33E3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09181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Harrison Hayward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8pt;margin-top:69.2pt;width:544.95pt;height:9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" filled="f" stroked="f">
                <v:textbox inset=",7.2pt,,7.2pt">
                  <w:txbxContent>
                    <w:p w14:paraId="20CECBCB" w14:textId="1F4231E2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09181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M &amp; M and Fellowship Program Evaluation</w:t>
                      </w:r>
                    </w:p>
                    <w:p w14:paraId="2974ED00" w14:textId="6B9AF6C9" w:rsidR="00DA33E3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09181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Harrison Hayward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7777777" w:rsidR="00530ABC" w:rsidRPr="00172D30" w:rsidRDefault="00746000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263F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2161540</wp:posOffset>
                </wp:positionV>
                <wp:extent cx="6487160" cy="15189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5A76257F" w:rsidR="00D00877" w:rsidRPr="00395230" w:rsidRDefault="0039523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  <w:r w:rsidR="00091814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6/15/2023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018955E7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0CB12D74" w14:textId="61569645" w:rsidR="00091814" w:rsidRPr="00395230" w:rsidRDefault="00091814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9-1</w:t>
                              </w:r>
                              <w:r w:rsidR="000F6597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0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/ED Conference Rm</w:t>
                              </w:r>
                            </w:p>
                            <w:p w14:paraId="158B6C80" w14:textId="22242BFF" w:rsidR="00D00877" w:rsidRPr="00395230" w:rsidRDefault="00D00877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27" style="position:absolute;margin-left:-8pt;margin-top:170.2pt;width:510.8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">
                <v:shape id="Text Box 5" o:spid="_x0000_s1028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5A76257F" w:rsidR="00D00877" w:rsidRPr="00395230" w:rsidRDefault="00395230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  <w:r w:rsidR="00091814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 xml:space="preserve"> 6/15/2023</w:t>
                        </w:r>
                      </w:p>
                    </w:txbxContent>
                  </v:textbox>
                </v:shape>
                <v:shape id="_x0000_s1029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018955E7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0CB12D74" w14:textId="61569645" w:rsidR="00091814" w:rsidRPr="00395230" w:rsidRDefault="00091814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9-1</w:t>
                        </w:r>
                        <w:r w:rsidR="000F6597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/ED Conference Rm</w:t>
                        </w:r>
                      </w:p>
                      <w:p w14:paraId="158B6C80" w14:textId="22242BFF" w:rsidR="00D00877" w:rsidRPr="00395230" w:rsidRDefault="00D00877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1527FE8D" w:rsidR="00530ABC" w:rsidRPr="00FF1F6A" w:rsidRDefault="00395230" w:rsidP="00530ABC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477B88AD">
                <wp:simplePos x="0" y="0"/>
                <wp:positionH relativeFrom="column">
                  <wp:posOffset>-86360</wp:posOffset>
                </wp:positionH>
                <wp:positionV relativeFrom="paragraph">
                  <wp:posOffset>3731895</wp:posOffset>
                </wp:positionV>
                <wp:extent cx="6464935" cy="2883537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2883537"/>
                          <a:chOff x="412750" y="1776101"/>
                          <a:chExt cx="6464935" cy="2094877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817621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66C29628" w:rsidR="00DA33E3" w:rsidRDefault="00395230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3 </w:t>
                              </w:r>
                              <w:r w:rsidR="00D00877"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5D9907CB" w14:textId="77777777" w:rsidR="00AB5428" w:rsidRPr="00AB5428" w:rsidRDefault="00AB5428" w:rsidP="00AB5428">
                              <w:pPr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ahoma" w:hAnsi="Tahoma" w:cs="Tahoma"/>
                                  <w:color w:val="000000"/>
                                  <w:szCs w:val="22"/>
                                </w:rPr>
                              </w:pPr>
                              <w:r w:rsidRPr="00AB5428">
                                <w:rPr>
                                  <w:rFonts w:ascii="Tahoma" w:hAnsi="Tahoma" w:cs="Tahoma"/>
                                  <w:color w:val="000000"/>
                                  <w:szCs w:val="22"/>
                                </w:rPr>
                                <w:t>Review recent CNMC ED volume trends</w:t>
                              </w:r>
                            </w:p>
                            <w:p w14:paraId="52CCD60E" w14:textId="77777777" w:rsidR="00AB5428" w:rsidRPr="00AB5428" w:rsidRDefault="00AB5428" w:rsidP="00AB5428">
                              <w:pPr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ahoma" w:hAnsi="Tahoma" w:cs="Tahoma"/>
                                  <w:color w:val="000000"/>
                                  <w:szCs w:val="22"/>
                                </w:rPr>
                              </w:pPr>
                              <w:r w:rsidRPr="00AB5428">
                                <w:rPr>
                                  <w:rFonts w:ascii="Tahoma" w:hAnsi="Tahoma" w:cs="Tahoma"/>
                                  <w:color w:val="000000"/>
                                  <w:szCs w:val="22"/>
                                </w:rPr>
                                <w:t>Review ED cases resulting in significant morbidity or mortality</w:t>
                              </w:r>
                            </w:p>
                            <w:p w14:paraId="31EB2487" w14:textId="7DCFBE78" w:rsidR="005E69F1" w:rsidRPr="00AB5428" w:rsidRDefault="00AB5428" w:rsidP="00AB5428">
                              <w:pPr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Tahoma" w:hAnsi="Tahoma" w:cs="Tahoma"/>
                                  <w:color w:val="000000"/>
                                  <w:szCs w:val="22"/>
                                </w:rPr>
                              </w:pPr>
                              <w:r w:rsidRPr="00AB5428">
                                <w:rPr>
                                  <w:rFonts w:ascii="Tahoma" w:hAnsi="Tahoma" w:cs="Tahoma"/>
                                  <w:color w:val="000000"/>
                                  <w:szCs w:val="22"/>
                                </w:rPr>
                                <w:t>Discuss recent GSW trends in the ED and specific concepts in management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776101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37FE81BF" w:rsidR="00D00877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39C44C7C" w14:textId="38FD4165" w:rsidR="00091814" w:rsidRPr="00395230" w:rsidRDefault="00091814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ED Providers</w:t>
                              </w:r>
                            </w:p>
                            <w:p w14:paraId="0DA9324A" w14:textId="77777777" w:rsidR="00D00877" w:rsidRPr="00395230" w:rsidRDefault="00D00877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30" style="position:absolute;margin-left:-6.8pt;margin-top:293.85pt;width:509.05pt;height:227.05pt;z-index:251654656" coordorigin="4127,17761" coordsize="64649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">
                <v:shape id="Text Box 5" o:spid="_x0000_s1031" type="#_x0000_t202" style="position:absolute;left:4127;top:18176;width:32887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66C29628" w:rsidR="00DA33E3" w:rsidRDefault="00395230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3 </w:t>
                        </w:r>
                        <w:r w:rsidR="00D00877"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5D9907CB" w14:textId="77777777" w:rsidR="00AB5428" w:rsidRPr="00AB5428" w:rsidRDefault="00AB5428" w:rsidP="00AB5428">
                        <w:pPr>
                          <w:numPr>
                            <w:ilvl w:val="0"/>
                            <w:numId w:val="27"/>
                          </w:numPr>
                          <w:rPr>
                            <w:rFonts w:ascii="Tahoma" w:hAnsi="Tahoma" w:cs="Tahoma"/>
                            <w:color w:val="000000"/>
                            <w:szCs w:val="22"/>
                          </w:rPr>
                        </w:pPr>
                        <w:r w:rsidRPr="00AB5428">
                          <w:rPr>
                            <w:rFonts w:ascii="Tahoma" w:hAnsi="Tahoma" w:cs="Tahoma"/>
                            <w:color w:val="000000"/>
                            <w:szCs w:val="22"/>
                          </w:rPr>
                          <w:t>Review recent CNMC ED volume trends</w:t>
                        </w:r>
                      </w:p>
                      <w:p w14:paraId="52CCD60E" w14:textId="77777777" w:rsidR="00AB5428" w:rsidRPr="00AB5428" w:rsidRDefault="00AB5428" w:rsidP="00AB5428">
                        <w:pPr>
                          <w:numPr>
                            <w:ilvl w:val="0"/>
                            <w:numId w:val="27"/>
                          </w:numPr>
                          <w:rPr>
                            <w:rFonts w:ascii="Tahoma" w:hAnsi="Tahoma" w:cs="Tahoma"/>
                            <w:color w:val="000000"/>
                            <w:szCs w:val="22"/>
                          </w:rPr>
                        </w:pPr>
                        <w:r w:rsidRPr="00AB5428">
                          <w:rPr>
                            <w:rFonts w:ascii="Tahoma" w:hAnsi="Tahoma" w:cs="Tahoma"/>
                            <w:color w:val="000000"/>
                            <w:szCs w:val="22"/>
                          </w:rPr>
                          <w:t>Review ED cases resulting in significant morbidity or mortality</w:t>
                        </w:r>
                      </w:p>
                      <w:p w14:paraId="31EB2487" w14:textId="7DCFBE78" w:rsidR="005E69F1" w:rsidRPr="00AB5428" w:rsidRDefault="00AB5428" w:rsidP="00AB5428">
                        <w:pPr>
                          <w:numPr>
                            <w:ilvl w:val="0"/>
                            <w:numId w:val="27"/>
                          </w:numPr>
                          <w:rPr>
                            <w:rFonts w:ascii="Tahoma" w:hAnsi="Tahoma" w:cs="Tahoma"/>
                            <w:color w:val="000000"/>
                            <w:szCs w:val="22"/>
                          </w:rPr>
                        </w:pPr>
                        <w:r w:rsidRPr="00AB5428">
                          <w:rPr>
                            <w:rFonts w:ascii="Tahoma" w:hAnsi="Tahoma" w:cs="Tahoma"/>
                            <w:color w:val="000000"/>
                            <w:szCs w:val="22"/>
                          </w:rPr>
                          <w:t>Discuss recent GSW trends in the ED and specific concepts in management</w:t>
                        </w:r>
                      </w:p>
                    </w:txbxContent>
                  </v:textbox>
                </v:shape>
                <v:shape id="Text Box 6" o:spid="_x0000_s1032" type="#_x0000_t202" style="position:absolute;left:36772;top:1776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37FE81BF" w:rsidR="00D00877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39C44C7C" w14:textId="38FD4165" w:rsidR="00091814" w:rsidRPr="00395230" w:rsidRDefault="00091814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ED Providers</w:t>
                        </w:r>
                      </w:p>
                      <w:p w14:paraId="0DA9324A" w14:textId="77777777" w:rsidR="00D00877" w:rsidRPr="00395230" w:rsidRDefault="00D00877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FF1F6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1F6A" w:rsidRPr="00FF1F6A">
        <w:rPr>
          <w:noProof/>
          <w:sz w:val="32"/>
          <w:szCs w:val="32"/>
        </w:rPr>
        <w:t>Text Code MADNES to 703-260-9391</w:t>
      </w:r>
    </w:p>
    <w:sectPr w:rsidR="00530ABC" w:rsidRPr="00FF1F6A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2D9F" w14:textId="77777777" w:rsidR="00FF173D" w:rsidRDefault="00FF173D" w:rsidP="00816ECB">
      <w:r>
        <w:separator/>
      </w:r>
    </w:p>
  </w:endnote>
  <w:endnote w:type="continuationSeparator" w:id="0">
    <w:p w14:paraId="760E8F04" w14:textId="77777777" w:rsidR="00FF173D" w:rsidRDefault="00FF173D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5F63" w14:textId="77777777" w:rsidR="00FF173D" w:rsidRDefault="00FF173D" w:rsidP="00816ECB">
      <w:r>
        <w:separator/>
      </w:r>
    </w:p>
  </w:footnote>
  <w:footnote w:type="continuationSeparator" w:id="0">
    <w:p w14:paraId="64E91692" w14:textId="77777777" w:rsidR="00FF173D" w:rsidRDefault="00FF173D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8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1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D569AE"/>
    <w:multiLevelType w:val="multilevel"/>
    <w:tmpl w:val="B1D60C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71426"/>
    <w:multiLevelType w:val="hybridMultilevel"/>
    <w:tmpl w:val="5FC8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88872">
    <w:abstractNumId w:val="17"/>
  </w:num>
  <w:num w:numId="2" w16cid:durableId="9095094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4"/>
  </w:num>
  <w:num w:numId="4" w16cid:durableId="13534545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2"/>
  </w:num>
  <w:num w:numId="7" w16cid:durableId="1417508464">
    <w:abstractNumId w:val="0"/>
  </w:num>
  <w:num w:numId="8" w16cid:durableId="4185256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4"/>
  </w:num>
  <w:num w:numId="12" w16cid:durableId="499003821">
    <w:abstractNumId w:val="15"/>
  </w:num>
  <w:num w:numId="13" w16cid:durableId="833491066">
    <w:abstractNumId w:val="3"/>
  </w:num>
  <w:num w:numId="14" w16cid:durableId="924651502">
    <w:abstractNumId w:val="5"/>
  </w:num>
  <w:num w:numId="15" w16cid:durableId="1466314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16"/>
  </w:num>
  <w:num w:numId="18" w16cid:durableId="12710819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0"/>
  </w:num>
  <w:num w:numId="20" w16cid:durableId="11969648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1"/>
  </w:num>
  <w:num w:numId="23" w16cid:durableId="1331179780">
    <w:abstractNumId w:val="18"/>
  </w:num>
  <w:num w:numId="24" w16cid:durableId="250117297">
    <w:abstractNumId w:val="7"/>
  </w:num>
  <w:num w:numId="25" w16cid:durableId="1531064880">
    <w:abstractNumId w:val="6"/>
  </w:num>
  <w:num w:numId="26" w16cid:durableId="1666743749">
    <w:abstractNumId w:val="25"/>
  </w:num>
  <w:num w:numId="27" w16cid:durableId="14429929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3FBD"/>
    <w:rsid w:val="00065401"/>
    <w:rsid w:val="00072A3D"/>
    <w:rsid w:val="00076DB1"/>
    <w:rsid w:val="00091814"/>
    <w:rsid w:val="000B10EA"/>
    <w:rsid w:val="000B7CFF"/>
    <w:rsid w:val="000D60FB"/>
    <w:rsid w:val="000F5108"/>
    <w:rsid w:val="000F6597"/>
    <w:rsid w:val="0013491A"/>
    <w:rsid w:val="001437CE"/>
    <w:rsid w:val="00172026"/>
    <w:rsid w:val="00172D30"/>
    <w:rsid w:val="00182AB3"/>
    <w:rsid w:val="001A0213"/>
    <w:rsid w:val="00200A7A"/>
    <w:rsid w:val="00202D80"/>
    <w:rsid w:val="00213DA7"/>
    <w:rsid w:val="00221616"/>
    <w:rsid w:val="002712AE"/>
    <w:rsid w:val="0027324F"/>
    <w:rsid w:val="002A69CA"/>
    <w:rsid w:val="002B3F25"/>
    <w:rsid w:val="002C069E"/>
    <w:rsid w:val="002D2E88"/>
    <w:rsid w:val="002F5A8D"/>
    <w:rsid w:val="00302331"/>
    <w:rsid w:val="003117EB"/>
    <w:rsid w:val="003611CA"/>
    <w:rsid w:val="00395230"/>
    <w:rsid w:val="003C2791"/>
    <w:rsid w:val="003C6AD6"/>
    <w:rsid w:val="003D35F4"/>
    <w:rsid w:val="00456977"/>
    <w:rsid w:val="004E5635"/>
    <w:rsid w:val="00530ABC"/>
    <w:rsid w:val="00534559"/>
    <w:rsid w:val="005459BD"/>
    <w:rsid w:val="00557B20"/>
    <w:rsid w:val="00596689"/>
    <w:rsid w:val="00597D36"/>
    <w:rsid w:val="005A6FC9"/>
    <w:rsid w:val="005C6DE5"/>
    <w:rsid w:val="005E69F1"/>
    <w:rsid w:val="006259DF"/>
    <w:rsid w:val="00661767"/>
    <w:rsid w:val="0068543F"/>
    <w:rsid w:val="006A635E"/>
    <w:rsid w:val="00706D5F"/>
    <w:rsid w:val="0071065F"/>
    <w:rsid w:val="0071482B"/>
    <w:rsid w:val="00746000"/>
    <w:rsid w:val="007742A2"/>
    <w:rsid w:val="00785A1E"/>
    <w:rsid w:val="00790060"/>
    <w:rsid w:val="0081664F"/>
    <w:rsid w:val="00816ECB"/>
    <w:rsid w:val="00851075"/>
    <w:rsid w:val="00867253"/>
    <w:rsid w:val="00871D74"/>
    <w:rsid w:val="00876F38"/>
    <w:rsid w:val="00887C79"/>
    <w:rsid w:val="009272F9"/>
    <w:rsid w:val="00927478"/>
    <w:rsid w:val="00933581"/>
    <w:rsid w:val="009445FD"/>
    <w:rsid w:val="0095418C"/>
    <w:rsid w:val="00954C82"/>
    <w:rsid w:val="009A16CB"/>
    <w:rsid w:val="009C0F1D"/>
    <w:rsid w:val="009C10FA"/>
    <w:rsid w:val="009C540E"/>
    <w:rsid w:val="009D211A"/>
    <w:rsid w:val="00A93FBF"/>
    <w:rsid w:val="00AA6855"/>
    <w:rsid w:val="00AB5428"/>
    <w:rsid w:val="00AF00DC"/>
    <w:rsid w:val="00B048D1"/>
    <w:rsid w:val="00B108F6"/>
    <w:rsid w:val="00B370B3"/>
    <w:rsid w:val="00B772FA"/>
    <w:rsid w:val="00C461BE"/>
    <w:rsid w:val="00C5547A"/>
    <w:rsid w:val="00C555BE"/>
    <w:rsid w:val="00C77F15"/>
    <w:rsid w:val="00CE4A22"/>
    <w:rsid w:val="00CE79C0"/>
    <w:rsid w:val="00D00877"/>
    <w:rsid w:val="00D033DC"/>
    <w:rsid w:val="00D03A4F"/>
    <w:rsid w:val="00D21F92"/>
    <w:rsid w:val="00D57C78"/>
    <w:rsid w:val="00DA33E3"/>
    <w:rsid w:val="00DB6A98"/>
    <w:rsid w:val="00DD537F"/>
    <w:rsid w:val="00E01198"/>
    <w:rsid w:val="00E22E10"/>
    <w:rsid w:val="00E37C84"/>
    <w:rsid w:val="00E60C07"/>
    <w:rsid w:val="00E854E7"/>
    <w:rsid w:val="00EB0D40"/>
    <w:rsid w:val="00ED3468"/>
    <w:rsid w:val="00ED7072"/>
    <w:rsid w:val="00EF3BFC"/>
    <w:rsid w:val="00EF6825"/>
    <w:rsid w:val="00F55F6B"/>
    <w:rsid w:val="00F652DB"/>
    <w:rsid w:val="00F85F48"/>
    <w:rsid w:val="00F94338"/>
    <w:rsid w:val="00FC562B"/>
    <w:rsid w:val="00FD328A"/>
    <w:rsid w:val="00FF173D"/>
    <w:rsid w:val="00FF1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2023-06-13T22:15:00Z</dcterms:created>
  <dcterms:modified xsi:type="dcterms:W3CDTF">2023-06-13T22:15:00Z</dcterms:modified>
</cp:coreProperties>
</file>