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2BD9882B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DD537F" w:rsidRPr="00DD537F">
        <w:rPr>
          <w:rFonts w:ascii="Century Gothic" w:hAnsi="Century Gothic"/>
          <w:sz w:val="30"/>
          <w:szCs w:val="30"/>
        </w:rPr>
        <w:t>Children's National General and Thoracic Surgery Educational, Morbidity and Mortality Conference</w:t>
      </w:r>
    </w:p>
    <w:p w14:paraId="4B7F9480" w14:textId="798E873D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38073E52">
                <wp:simplePos x="0" y="0"/>
                <wp:positionH relativeFrom="column">
                  <wp:posOffset>-99060</wp:posOffset>
                </wp:positionH>
                <wp:positionV relativeFrom="paragraph">
                  <wp:posOffset>878840</wp:posOffset>
                </wp:positionV>
                <wp:extent cx="6920865" cy="123825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7AC4A45C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540F6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Trauma Conference</w:t>
                            </w:r>
                          </w:p>
                          <w:p w14:paraId="2974ED00" w14:textId="6A732BC7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540F6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Mark </w:t>
                            </w:r>
                            <w:proofErr w:type="spellStart"/>
                            <w:r w:rsidR="00540F6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Kovler</w:t>
                            </w:r>
                            <w:proofErr w:type="spellEnd"/>
                            <w:r w:rsidR="00540F6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 MD</w:t>
                            </w:r>
                          </w:p>
                          <w:p w14:paraId="5F63534C" w14:textId="72A58D57" w:rsidR="00AE2A1F" w:rsidRDefault="00AE2A1F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SUFJEB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to 703-260-9391</w:t>
                            </w:r>
                          </w:p>
                          <w:p w14:paraId="0894EEB3" w14:textId="5495F11D" w:rsidR="00AE2A1F" w:rsidRDefault="00AE2A1F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74FC632" w14:textId="77777777" w:rsidR="00AE2A1F" w:rsidRPr="00954C82" w:rsidRDefault="00AE2A1F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8pt;margin-top:69.2pt;width:544.9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" filled="f" stroked="f">
                <v:textbox inset=",7.2pt,,7.2pt">
                  <w:txbxContent>
                    <w:p w14:paraId="20CECBCB" w14:textId="7AC4A45C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540F6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Trauma Conference</w:t>
                      </w:r>
                    </w:p>
                    <w:p w14:paraId="2974ED00" w14:textId="6A732BC7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540F6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Mark </w:t>
                      </w:r>
                      <w:proofErr w:type="spellStart"/>
                      <w:r w:rsidR="00540F6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Kovler</w:t>
                      </w:r>
                      <w:proofErr w:type="spellEnd"/>
                      <w:r w:rsidR="00540F6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 MD</w:t>
                      </w:r>
                    </w:p>
                    <w:p w14:paraId="5F63534C" w14:textId="72A58D57" w:rsidR="00AE2A1F" w:rsidRDefault="00AE2A1F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SUFJEB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to 703-260-9391</w:t>
                      </w:r>
                    </w:p>
                    <w:p w14:paraId="0894EEB3" w14:textId="5495F11D" w:rsidR="00AE2A1F" w:rsidRDefault="00AE2A1F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74FC632" w14:textId="77777777" w:rsidR="00AE2A1F" w:rsidRPr="00954C82" w:rsidRDefault="00AE2A1F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26341479" w:rsidR="00D00877" w:rsidRDefault="00395230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</w:p>
                            <w:p w14:paraId="5A1E605D" w14:textId="06B62266" w:rsidR="00540F69" w:rsidRPr="00395230" w:rsidRDefault="00540F69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Thursday, June 8,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5A60D6A" w:rsidR="009272F9" w:rsidRPr="00395230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58B6C80" w14:textId="04CCB393" w:rsidR="00D00877" w:rsidRDefault="00540F69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  <w:t>7:00 A.M. – 9:00 A.M.</w:t>
                              </w:r>
                            </w:p>
                            <w:p w14:paraId="0FC64C3C" w14:textId="5FABDE91" w:rsidR="00540F69" w:rsidRPr="00395230" w:rsidRDefault="00F2299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  <w:t>Guzzetta Library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26341479" w:rsidR="00D00877" w:rsidRDefault="00395230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</w:p>
                      <w:p w14:paraId="5A1E605D" w14:textId="06B62266" w:rsidR="00540F69" w:rsidRPr="00395230" w:rsidRDefault="00540F69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Thursday, June 8, 2023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5A60D6A" w:rsidR="009272F9" w:rsidRPr="00395230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58B6C80" w14:textId="04CCB393" w:rsidR="00D00877" w:rsidRDefault="00540F69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  <w:t>7:00 A.M. – 9:00 A.M.</w:t>
                        </w:r>
                      </w:p>
                      <w:p w14:paraId="0FC64C3C" w14:textId="5FABDE91" w:rsidR="00540F69" w:rsidRPr="00395230" w:rsidRDefault="00F22992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  <w:t>Guzzetta Library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02D26C26" w:rsidR="00DA33E3" w:rsidRDefault="00395230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3 </w:t>
                              </w:r>
                              <w:r w:rsidR="00D00877"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3C4322D5" w14:textId="427A457A" w:rsidR="00F22992" w:rsidRDefault="00F22992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Point One – Discuss diagnostic and management strategies</w:t>
                              </w:r>
                            </w:p>
                            <w:p w14:paraId="05290B8A" w14:textId="4003063C" w:rsidR="00F22992" w:rsidRDefault="00F22992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Point Two – Review different surgical interventions and outcomes</w:t>
                              </w:r>
                            </w:p>
                            <w:p w14:paraId="2872C863" w14:textId="72972DFF" w:rsidR="00F22992" w:rsidRPr="00395230" w:rsidRDefault="00F22992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Point Three – Identity </w:t>
                              </w:r>
                              <w:r w:rsidR="00BE592A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ong term challenges to care</w:t>
                              </w: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77777777" w:rsidR="00D00877" w:rsidRPr="00395230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DA9324A" w14:textId="0B8D1B6E" w:rsidR="00D00877" w:rsidRPr="00395230" w:rsidRDefault="00F22992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 xml:space="preserve">Surgeons, primary care, internal medicine, residents, physician </w:t>
                              </w:r>
                              <w:r w:rsidR="009041FD"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 xml:space="preserve">assistants, nurse practitioners and medical students.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02D26C26" w:rsidR="00DA33E3" w:rsidRDefault="00395230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="00D00877"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3C4322D5" w14:textId="427A457A" w:rsidR="00F22992" w:rsidRDefault="00F22992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Point One – Discuss diagnostic and management strategies</w:t>
                        </w:r>
                      </w:p>
                      <w:p w14:paraId="05290B8A" w14:textId="4003063C" w:rsidR="00F22992" w:rsidRDefault="00F22992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Point Two – Review different surgical interventions and outcomes</w:t>
                        </w:r>
                      </w:p>
                      <w:p w14:paraId="2872C863" w14:textId="72972DFF" w:rsidR="00F22992" w:rsidRPr="00395230" w:rsidRDefault="00F22992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Point Three – Identity </w:t>
                        </w:r>
                        <w:r w:rsidR="00BE592A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</w:t>
                        </w: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ong term challenges to care</w:t>
                        </w: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77777777" w:rsidR="00D00877" w:rsidRPr="00395230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DA9324A" w14:textId="0B8D1B6E" w:rsidR="00D00877" w:rsidRPr="00395230" w:rsidRDefault="00F22992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</w:rPr>
                          <w:t xml:space="preserve">Surgeons, primary care, internal medicine, residents, physician </w:t>
                        </w:r>
                        <w:r w:rsidR="009041FD">
                          <w:rPr>
                            <w:rFonts w:ascii="Century Gothic" w:hAnsi="Century Gothic"/>
                            <w:color w:val="000000" w:themeColor="text1"/>
                          </w:rPr>
                          <w:t xml:space="preserve">assistants, nurse practitioners and medical students.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2B08" w14:textId="77777777" w:rsidR="00AE3675" w:rsidRDefault="00AE3675" w:rsidP="00816ECB">
      <w:r>
        <w:separator/>
      </w:r>
    </w:p>
  </w:endnote>
  <w:endnote w:type="continuationSeparator" w:id="0">
    <w:p w14:paraId="3E882130" w14:textId="77777777" w:rsidR="00AE3675" w:rsidRDefault="00AE3675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11E8" w14:textId="77777777" w:rsidR="00AE3675" w:rsidRDefault="00AE3675" w:rsidP="00816ECB">
      <w:r>
        <w:separator/>
      </w:r>
    </w:p>
  </w:footnote>
  <w:footnote w:type="continuationSeparator" w:id="0">
    <w:p w14:paraId="48FAD39C" w14:textId="77777777" w:rsidR="00AE3675" w:rsidRDefault="00AE3675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17"/>
  </w:num>
  <w:num w:numId="2" w16cid:durableId="909509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4"/>
  </w:num>
  <w:num w:numId="4" w16cid:durableId="1353454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2"/>
  </w:num>
  <w:num w:numId="7" w16cid:durableId="1417508464">
    <w:abstractNumId w:val="0"/>
  </w:num>
  <w:num w:numId="8" w16cid:durableId="418525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3"/>
  </w:num>
  <w:num w:numId="12" w16cid:durableId="499003821">
    <w:abstractNumId w:val="15"/>
  </w:num>
  <w:num w:numId="13" w16cid:durableId="833491066">
    <w:abstractNumId w:val="3"/>
  </w:num>
  <w:num w:numId="14" w16cid:durableId="924651502">
    <w:abstractNumId w:val="5"/>
  </w:num>
  <w:num w:numId="15" w16cid:durableId="1466314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6"/>
  </w:num>
  <w:num w:numId="18" w16cid:durableId="1271081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0"/>
  </w:num>
  <w:num w:numId="20" w16cid:durableId="11969648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1"/>
  </w:num>
  <w:num w:numId="23" w16cid:durableId="1331179780">
    <w:abstractNumId w:val="18"/>
  </w:num>
  <w:num w:numId="24" w16cid:durableId="250117297">
    <w:abstractNumId w:val="7"/>
  </w:num>
  <w:num w:numId="25" w16cid:durableId="1531064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3FBD"/>
    <w:rsid w:val="00065401"/>
    <w:rsid w:val="00072A3D"/>
    <w:rsid w:val="00076DB1"/>
    <w:rsid w:val="000B10EA"/>
    <w:rsid w:val="000B7CFF"/>
    <w:rsid w:val="000D60FB"/>
    <w:rsid w:val="000F5108"/>
    <w:rsid w:val="0013491A"/>
    <w:rsid w:val="001437CE"/>
    <w:rsid w:val="00172026"/>
    <w:rsid w:val="00172D30"/>
    <w:rsid w:val="00182AB3"/>
    <w:rsid w:val="001A0213"/>
    <w:rsid w:val="00200A7A"/>
    <w:rsid w:val="00202D80"/>
    <w:rsid w:val="00213DA7"/>
    <w:rsid w:val="00221616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611CA"/>
    <w:rsid w:val="00395230"/>
    <w:rsid w:val="003C2791"/>
    <w:rsid w:val="003C6AD6"/>
    <w:rsid w:val="003D35F4"/>
    <w:rsid w:val="00456977"/>
    <w:rsid w:val="004E5635"/>
    <w:rsid w:val="00530ABC"/>
    <w:rsid w:val="00534559"/>
    <w:rsid w:val="00540F69"/>
    <w:rsid w:val="005459BD"/>
    <w:rsid w:val="00557B20"/>
    <w:rsid w:val="00565CC8"/>
    <w:rsid w:val="00596689"/>
    <w:rsid w:val="00597D36"/>
    <w:rsid w:val="005A6FC9"/>
    <w:rsid w:val="005C6DE5"/>
    <w:rsid w:val="005E69F1"/>
    <w:rsid w:val="006259DF"/>
    <w:rsid w:val="00661767"/>
    <w:rsid w:val="0068543F"/>
    <w:rsid w:val="006A635E"/>
    <w:rsid w:val="00706D5F"/>
    <w:rsid w:val="0071065F"/>
    <w:rsid w:val="0071482B"/>
    <w:rsid w:val="00746000"/>
    <w:rsid w:val="007742A2"/>
    <w:rsid w:val="00785A1E"/>
    <w:rsid w:val="00790060"/>
    <w:rsid w:val="0081664F"/>
    <w:rsid w:val="00816ECB"/>
    <w:rsid w:val="00851075"/>
    <w:rsid w:val="00867253"/>
    <w:rsid w:val="00871D74"/>
    <w:rsid w:val="00876F38"/>
    <w:rsid w:val="00887C79"/>
    <w:rsid w:val="009041FD"/>
    <w:rsid w:val="009272F9"/>
    <w:rsid w:val="00927478"/>
    <w:rsid w:val="00933581"/>
    <w:rsid w:val="009445FD"/>
    <w:rsid w:val="0095418C"/>
    <w:rsid w:val="00954C82"/>
    <w:rsid w:val="009C0F1D"/>
    <w:rsid w:val="009C10FA"/>
    <w:rsid w:val="00A362E2"/>
    <w:rsid w:val="00A93FBF"/>
    <w:rsid w:val="00AA6855"/>
    <w:rsid w:val="00AE2A1F"/>
    <w:rsid w:val="00AE3675"/>
    <w:rsid w:val="00AF00DC"/>
    <w:rsid w:val="00B048D1"/>
    <w:rsid w:val="00B108F6"/>
    <w:rsid w:val="00B370B3"/>
    <w:rsid w:val="00B772FA"/>
    <w:rsid w:val="00BE592A"/>
    <w:rsid w:val="00C461BE"/>
    <w:rsid w:val="00C5547A"/>
    <w:rsid w:val="00C555BE"/>
    <w:rsid w:val="00C77F15"/>
    <w:rsid w:val="00CA501A"/>
    <w:rsid w:val="00CE4A22"/>
    <w:rsid w:val="00CE79C0"/>
    <w:rsid w:val="00D00877"/>
    <w:rsid w:val="00D033DC"/>
    <w:rsid w:val="00D03A4F"/>
    <w:rsid w:val="00D21F92"/>
    <w:rsid w:val="00D57C78"/>
    <w:rsid w:val="00DA33E3"/>
    <w:rsid w:val="00DB6A98"/>
    <w:rsid w:val="00DD537F"/>
    <w:rsid w:val="00E01198"/>
    <w:rsid w:val="00E22E10"/>
    <w:rsid w:val="00E37C84"/>
    <w:rsid w:val="00E60C07"/>
    <w:rsid w:val="00E854E7"/>
    <w:rsid w:val="00EB0D40"/>
    <w:rsid w:val="00ED3468"/>
    <w:rsid w:val="00EF3BFC"/>
    <w:rsid w:val="00EF6825"/>
    <w:rsid w:val="00F22992"/>
    <w:rsid w:val="00F55F6B"/>
    <w:rsid w:val="00F652DB"/>
    <w:rsid w:val="00F85F48"/>
    <w:rsid w:val="00F94338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2023-06-16T14:30:00Z</dcterms:created>
  <dcterms:modified xsi:type="dcterms:W3CDTF">2023-06-16T14:30:00Z</dcterms:modified>
</cp:coreProperties>
</file>